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B40A" w14:textId="77777777" w:rsidR="00265DA5" w:rsidRDefault="00A86A38">
      <w:pPr>
        <w:pBdr>
          <w:top w:val="none" w:sz="0" w:space="0" w:color="000000"/>
          <w:left w:val="none" w:sz="0" w:space="0" w:color="000000"/>
          <w:bottom w:val="single" w:sz="10" w:space="3" w:color="335F85"/>
          <w:right w:val="none" w:sz="0" w:space="0" w:color="000000"/>
        </w:pBdr>
        <w:shd w:val="clear" w:color="auto" w:fill="FFFFFF"/>
        <w:spacing w:after="160" w:line="270" w:lineRule="auto"/>
      </w:pPr>
      <w:r>
        <w:t xml:space="preserve">Link to webpage (2017 guidelines): </w:t>
      </w:r>
      <w:hyperlink r:id="rId11">
        <w:r>
          <w:rPr>
            <w:color w:val="1155CC"/>
            <w:u w:val="single"/>
          </w:rPr>
          <w:t>https://www2.archivists.org/prof-education/ace-guidelines-2017</w:t>
        </w:r>
      </w:hyperlink>
      <w:r>
        <w:t xml:space="preserve">  </w:t>
      </w:r>
    </w:p>
    <w:p w14:paraId="4664B40B" w14:textId="77777777" w:rsidR="00265DA5" w:rsidRDefault="00265DA5">
      <w:pPr>
        <w:pBdr>
          <w:top w:val="none" w:sz="0" w:space="0" w:color="000000"/>
          <w:left w:val="none" w:sz="0" w:space="0" w:color="000000"/>
          <w:bottom w:val="single" w:sz="10" w:space="3" w:color="335F85"/>
          <w:right w:val="none" w:sz="0" w:space="0" w:color="000000"/>
        </w:pBdr>
        <w:shd w:val="clear" w:color="auto" w:fill="FFFFFF"/>
        <w:spacing w:after="160" w:line="270" w:lineRule="auto"/>
      </w:pPr>
    </w:p>
    <w:p w14:paraId="4664B40C" w14:textId="77777777" w:rsidR="00265DA5" w:rsidRDefault="00A86A38">
      <w:pPr>
        <w:pBdr>
          <w:top w:val="none" w:sz="0" w:space="0" w:color="000000"/>
          <w:left w:val="none" w:sz="0" w:space="0" w:color="000000"/>
          <w:bottom w:val="single" w:sz="10" w:space="3" w:color="335F85"/>
          <w:right w:val="none" w:sz="0" w:space="0" w:color="000000"/>
        </w:pBdr>
        <w:shd w:val="clear" w:color="auto" w:fill="FFFFFF"/>
        <w:spacing w:after="160" w:line="270" w:lineRule="auto"/>
      </w:pPr>
      <w:r>
        <w:t>*Please note that footnote links will need to be updated on the live website.</w:t>
      </w:r>
    </w:p>
    <w:p w14:paraId="4664B40D" w14:textId="77777777" w:rsidR="00265DA5" w:rsidRDefault="00265DA5">
      <w:pPr>
        <w:pBdr>
          <w:top w:val="none" w:sz="0" w:space="0" w:color="000000"/>
          <w:left w:val="none" w:sz="0" w:space="0" w:color="000000"/>
          <w:bottom w:val="single" w:sz="10" w:space="3" w:color="335F85"/>
          <w:right w:val="none" w:sz="0" w:space="0" w:color="000000"/>
        </w:pBdr>
        <w:shd w:val="clear" w:color="auto" w:fill="FFFFFF"/>
        <w:spacing w:after="160" w:line="270" w:lineRule="auto"/>
      </w:pPr>
    </w:p>
    <w:p w14:paraId="4664B40E" w14:textId="77777777" w:rsidR="00265DA5" w:rsidRDefault="00A86A38">
      <w:pPr>
        <w:pStyle w:val="Heading1"/>
        <w:keepNext w:val="0"/>
        <w:keepLines w:val="0"/>
        <w:pBdr>
          <w:top w:val="none" w:sz="0" w:space="0" w:color="000000"/>
          <w:left w:val="none" w:sz="0" w:space="0" w:color="000000"/>
          <w:bottom w:val="single" w:sz="10" w:space="3" w:color="335F85"/>
          <w:right w:val="none" w:sz="0" w:space="0" w:color="000000"/>
        </w:pBdr>
        <w:shd w:val="clear" w:color="auto" w:fill="FFFFFF"/>
        <w:spacing w:before="0" w:after="160" w:line="270" w:lineRule="auto"/>
        <w:rPr>
          <w:b/>
          <w:color w:val="335F85"/>
          <w:sz w:val="43"/>
          <w:szCs w:val="43"/>
        </w:rPr>
      </w:pPr>
      <w:bookmarkStart w:id="0" w:name="_heading=h.6bkfdecbzf5f" w:colFirst="0" w:colLast="0"/>
      <w:bookmarkEnd w:id="0"/>
      <w:r>
        <w:rPr>
          <w:b/>
          <w:color w:val="335F85"/>
          <w:sz w:val="43"/>
          <w:szCs w:val="43"/>
        </w:rPr>
        <w:t>Archival Continuing Education (ACE) Guidelines (2025)</w:t>
      </w:r>
    </w:p>
    <w:p w14:paraId="4664B40F"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jc w:val="center"/>
        <w:rPr>
          <w:i/>
          <w:color w:val="222222"/>
          <w:sz w:val="24"/>
          <w:szCs w:val="24"/>
        </w:rPr>
      </w:pPr>
      <w:r>
        <w:rPr>
          <w:i/>
          <w:color w:val="222222"/>
          <w:sz w:val="24"/>
          <w:szCs w:val="24"/>
        </w:rPr>
        <w:t>Adopted by the Council of the Society of American Archivists, XXX</w:t>
      </w:r>
    </w:p>
    <w:p w14:paraId="4664B410" w14:textId="77777777" w:rsidR="00265DA5" w:rsidRDefault="00A86A38">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80" w:after="160" w:line="268" w:lineRule="auto"/>
        <w:rPr>
          <w:b/>
          <w:color w:val="003D68"/>
          <w:sz w:val="29"/>
          <w:szCs w:val="29"/>
        </w:rPr>
      </w:pPr>
      <w:bookmarkStart w:id="1" w:name="_heading=h.ah0yt8ozoq10" w:colFirst="0" w:colLast="0"/>
      <w:bookmarkEnd w:id="1"/>
      <w:r>
        <w:rPr>
          <w:b/>
          <w:color w:val="003D68"/>
          <w:sz w:val="29"/>
          <w:szCs w:val="29"/>
        </w:rPr>
        <w:t>Introduction</w:t>
      </w:r>
    </w:p>
    <w:p w14:paraId="4664B411"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00A6B8"/>
          <w:sz w:val="24"/>
          <w:szCs w:val="24"/>
          <w:vertAlign w:val="superscript"/>
        </w:rPr>
      </w:pPr>
      <w:r>
        <w:rPr>
          <w:color w:val="222222"/>
          <w:sz w:val="24"/>
          <w:szCs w:val="24"/>
        </w:rPr>
        <w:t>Archival continuing education (ACE) provides professional archival knowledge beyond the formal credit/hour structure of education institutions. ACE connects with individual archivists in all phases of their careers by delivering basic, intermediate, and advanced courses in the areas of archival knowledge listed below.</w:t>
      </w:r>
      <w:hyperlink r:id="rId12" w:anchor="_ftn1">
        <w:r>
          <w:rPr>
            <w:color w:val="00A6B8"/>
            <w:sz w:val="24"/>
            <w:szCs w:val="24"/>
            <w:vertAlign w:val="superscript"/>
          </w:rPr>
          <w:t>[1]</w:t>
        </w:r>
      </w:hyperlink>
    </w:p>
    <w:p w14:paraId="4664B412"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These guidelines encourage lifelong learning opportunities within the archival community, and our primary audience for the guidelines are providers of archival continuing education, including the SAA Education Department, state and regional archives associations, and other providers of archival education. Many secondary audiences will also find value in the guidelines, including archival educators and course designers, practicing archivists, allied professionals, employers, students, accrediting agencies, archival and library administrators, and those who participate in archival continuing education.</w:t>
      </w:r>
    </w:p>
    <w:p w14:paraId="4664B413"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 xml:space="preserve">Continuing education is often focused on applied practice but should be grounded in archival principles, theories, histories, and values. All programs should engage the latest developments, technologies, and best practices in </w:t>
      </w:r>
      <w:proofErr w:type="gramStart"/>
      <w:r w:rsidRPr="5D507C5D">
        <w:rPr>
          <w:color w:val="222222"/>
          <w:sz w:val="24"/>
          <w:szCs w:val="24"/>
          <w:lang w:val="en-US"/>
        </w:rPr>
        <w:t>the knowledge</w:t>
      </w:r>
      <w:proofErr w:type="gramEnd"/>
      <w:r w:rsidRPr="5D507C5D">
        <w:rPr>
          <w:color w:val="222222"/>
          <w:sz w:val="24"/>
          <w:szCs w:val="24"/>
          <w:lang w:val="en-US"/>
        </w:rPr>
        <w:t xml:space="preserve"> areas.</w:t>
      </w:r>
    </w:p>
    <w:p w14:paraId="4664B414" w14:textId="77777777" w:rsidR="00265DA5" w:rsidRDefault="00265DA5">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80" w:after="160" w:line="268" w:lineRule="auto"/>
        <w:rPr>
          <w:b/>
          <w:color w:val="003D68"/>
          <w:sz w:val="29"/>
          <w:szCs w:val="29"/>
        </w:rPr>
      </w:pPr>
      <w:bookmarkStart w:id="2" w:name="_heading=h.ik8q8bi2wgep" w:colFirst="0" w:colLast="0"/>
      <w:bookmarkEnd w:id="2"/>
    </w:p>
    <w:p w14:paraId="4664B415" w14:textId="77777777" w:rsidR="00265DA5" w:rsidRDefault="00A86A38">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80" w:after="160" w:line="268" w:lineRule="auto"/>
        <w:rPr>
          <w:b/>
          <w:color w:val="003D68"/>
          <w:sz w:val="29"/>
          <w:szCs w:val="29"/>
        </w:rPr>
      </w:pPr>
      <w:bookmarkStart w:id="3" w:name="_heading=h.nqlrt6dnjpb" w:colFirst="0" w:colLast="0"/>
      <w:bookmarkEnd w:id="3"/>
      <w:r>
        <w:rPr>
          <w:b/>
          <w:color w:val="003D68"/>
          <w:sz w:val="29"/>
          <w:szCs w:val="29"/>
        </w:rPr>
        <w:lastRenderedPageBreak/>
        <w:t>Areas of Archival Knowledge</w:t>
      </w:r>
    </w:p>
    <w:p w14:paraId="4664B416"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Archival continuing education should address the areas of archival knowledge described by the Society of American Archivists Guidelines for a Graduate Program in Archival Studies 2023 (GPAS) and the Academy of Certified Archivists’ (ACA) Role Delineation Statement for Professional Archivists.</w:t>
      </w:r>
      <w:hyperlink r:id="rId13" w:anchor="_ftn2">
        <w:r>
          <w:rPr>
            <w:color w:val="00A6B8"/>
            <w:sz w:val="24"/>
            <w:szCs w:val="24"/>
            <w:vertAlign w:val="superscript"/>
          </w:rPr>
          <w:t>[2]</w:t>
        </w:r>
      </w:hyperlink>
    </w:p>
    <w:p w14:paraId="4664B417"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Areas of core archival knowledge in GPAS:</w:t>
      </w:r>
    </w:p>
    <w:p w14:paraId="4664B418"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The Nature of Records and Archives</w:t>
      </w:r>
    </w:p>
    <w:p w14:paraId="4664B419"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Appraisal for Selection and Acquisition</w:t>
      </w:r>
    </w:p>
    <w:p w14:paraId="4664B41A"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Arrangement and Description</w:t>
      </w:r>
    </w:p>
    <w:p w14:paraId="4664B41B"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Preservation</w:t>
      </w:r>
    </w:p>
    <w:p w14:paraId="4664B41C"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Reference and Access</w:t>
      </w:r>
    </w:p>
    <w:p w14:paraId="4664B41D"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Outreach, Instruction, and Advocacy</w:t>
      </w:r>
    </w:p>
    <w:p w14:paraId="4664B41E"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Management and Administration</w:t>
      </w:r>
    </w:p>
    <w:p w14:paraId="4664B41F"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Archival Systems and the Archives Profession</w:t>
      </w:r>
    </w:p>
    <w:p w14:paraId="4664B420"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Records and Cultural Memory</w:t>
      </w:r>
    </w:p>
    <w:p w14:paraId="4664B421"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 xml:space="preserve"> Professional Ethics and Values</w:t>
      </w:r>
    </w:p>
    <w:p w14:paraId="4664B422"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 xml:space="preserve"> Research Literacy</w:t>
      </w:r>
    </w:p>
    <w:p w14:paraId="4664B423"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 xml:space="preserve"> Social and Cultural Context</w:t>
      </w:r>
    </w:p>
    <w:p w14:paraId="4664B424"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 xml:space="preserve"> Organizational Theory</w:t>
      </w:r>
    </w:p>
    <w:p w14:paraId="4664B425"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 xml:space="preserve"> Legal, Financial, and Record Systems</w:t>
      </w:r>
    </w:p>
    <w:p w14:paraId="4664B426" w14:textId="77777777" w:rsidR="00265DA5" w:rsidRDefault="00A86A38">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 xml:space="preserve"> Underserved &amp; Underrepresented Communities</w:t>
      </w:r>
    </w:p>
    <w:p w14:paraId="4664B427"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 xml:space="preserve">Courses on specialized topics that do not fit neatly into the GPAS or Role Delineation Statement categories may also be appropriate for continuing archival education, including knowledge from allied professions, new and emerging technologies, special formats, or repository systems. </w:t>
      </w:r>
    </w:p>
    <w:p w14:paraId="4664B428" w14:textId="77777777" w:rsidR="00265DA5" w:rsidRDefault="00265DA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b/>
          <w:color w:val="003D68"/>
          <w:sz w:val="29"/>
          <w:szCs w:val="29"/>
        </w:rPr>
      </w:pPr>
    </w:p>
    <w:p w14:paraId="4664B429"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b/>
          <w:color w:val="003D68"/>
          <w:sz w:val="29"/>
          <w:szCs w:val="29"/>
        </w:rPr>
      </w:pPr>
      <w:r>
        <w:rPr>
          <w:b/>
          <w:color w:val="003D68"/>
          <w:sz w:val="29"/>
          <w:szCs w:val="29"/>
        </w:rPr>
        <w:lastRenderedPageBreak/>
        <w:t>Delivery Options, Course Formats, and Evaluation</w:t>
      </w:r>
    </w:p>
    <w:p w14:paraId="4664B42A"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00A6B8"/>
          <w:sz w:val="24"/>
          <w:szCs w:val="24"/>
          <w:vertAlign w:val="superscript"/>
          <w:lang w:val="en-US"/>
        </w:rPr>
      </w:pPr>
      <w:r w:rsidRPr="5D507C5D">
        <w:rPr>
          <w:color w:val="222222"/>
          <w:sz w:val="24"/>
          <w:szCs w:val="24"/>
          <w:lang w:val="en-US"/>
        </w:rPr>
        <w:t>Matching the needs of participants and topics being taught with the optimal format, venue, and accessibility of content is important. Providing low-cost, widely available continuing education should be the primary goal.</w:t>
      </w:r>
      <w:hyperlink r:id="rId14" w:anchor="_ftn3">
        <w:r w:rsidRPr="5D507C5D">
          <w:rPr>
            <w:color w:val="00A6B8"/>
            <w:sz w:val="24"/>
            <w:szCs w:val="24"/>
            <w:vertAlign w:val="superscript"/>
            <w:lang w:val="en-US"/>
          </w:rPr>
          <w:t>[3]</w:t>
        </w:r>
      </w:hyperlink>
      <w:r w:rsidRPr="5D507C5D">
        <w:rPr>
          <w:color w:val="222222"/>
          <w:sz w:val="24"/>
          <w:szCs w:val="24"/>
          <w:lang w:val="en-US"/>
        </w:rPr>
        <w:t xml:space="preserve"> Course information and materials must match well with the intended subject, duration, delivery mechanism, and audience.</w:t>
      </w:r>
      <w:hyperlink r:id="rId15" w:anchor="_ftn3">
        <w:r w:rsidRPr="5D507C5D">
          <w:rPr>
            <w:color w:val="00A6B8"/>
            <w:sz w:val="24"/>
            <w:szCs w:val="24"/>
            <w:vertAlign w:val="superscript"/>
            <w:lang w:val="en-US"/>
          </w:rPr>
          <w:t>[4]</w:t>
        </w:r>
      </w:hyperlink>
      <w:r w:rsidRPr="5D507C5D">
        <w:rPr>
          <w:color w:val="222222"/>
          <w:sz w:val="24"/>
          <w:szCs w:val="24"/>
          <w:lang w:val="en-US"/>
        </w:rPr>
        <w:t xml:space="preserve"> Course developers will create learning materials based on identified needs and will incorporate and assess learning outcomes using recognized assessment methods and formal evaluation instruments. Instructors should be qualified in their fields.</w:t>
      </w:r>
      <w:hyperlink r:id="rId16" w:anchor="_ftn4">
        <w:r w:rsidRPr="5D507C5D">
          <w:rPr>
            <w:color w:val="00A6B8"/>
            <w:sz w:val="24"/>
            <w:szCs w:val="24"/>
            <w:vertAlign w:val="superscript"/>
            <w:lang w:val="en-US"/>
          </w:rPr>
          <w:t>[5]</w:t>
        </w:r>
      </w:hyperlink>
    </w:p>
    <w:p w14:paraId="4664B42B"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00A6B8"/>
          <w:sz w:val="24"/>
          <w:szCs w:val="24"/>
          <w:vertAlign w:val="superscript"/>
          <w:lang w:val="en-US"/>
        </w:rPr>
      </w:pPr>
      <w:r w:rsidRPr="5D507C5D">
        <w:rPr>
          <w:color w:val="222222"/>
          <w:sz w:val="24"/>
          <w:szCs w:val="24"/>
          <w:lang w:val="en-US"/>
        </w:rPr>
        <w:t xml:space="preserve">Providers must consider accessibility when developing and offering courses and make efforts to meet the needs of </w:t>
      </w:r>
      <w:proofErr w:type="gramStart"/>
      <w:r w:rsidRPr="5D507C5D">
        <w:rPr>
          <w:color w:val="222222"/>
          <w:sz w:val="24"/>
          <w:szCs w:val="24"/>
          <w:lang w:val="en-US"/>
        </w:rPr>
        <w:t>persons</w:t>
      </w:r>
      <w:proofErr w:type="gramEnd"/>
      <w:r w:rsidRPr="5D507C5D">
        <w:rPr>
          <w:color w:val="222222"/>
          <w:sz w:val="24"/>
          <w:szCs w:val="24"/>
          <w:lang w:val="en-US"/>
        </w:rPr>
        <w:t xml:space="preserve"> with disabilities. Providers must have a policy for handling ADA-related requests. Any materials promoting and advertising continuing education courses should contain information about how participants may request </w:t>
      </w:r>
      <w:proofErr w:type="gramStart"/>
      <w:r w:rsidRPr="5D507C5D">
        <w:rPr>
          <w:color w:val="222222"/>
          <w:sz w:val="24"/>
          <w:szCs w:val="24"/>
          <w:lang w:val="en-US"/>
        </w:rPr>
        <w:t>accommodations</w:t>
      </w:r>
      <w:proofErr w:type="gramEnd"/>
      <w:r w:rsidRPr="5D507C5D">
        <w:rPr>
          <w:color w:val="222222"/>
          <w:sz w:val="24"/>
          <w:szCs w:val="24"/>
          <w:lang w:val="en-US"/>
        </w:rPr>
        <w:t xml:space="preserve"> to address any access needs. Instructors and students should evaluate specific continuing education courses. Developers and providers of individual courses and multi-class programs should evaluate the total range of courses offered over time to avoid needless duplication or competition.</w:t>
      </w:r>
      <w:hyperlink r:id="rId17" w:anchor="_ftn5">
        <w:r w:rsidRPr="5D507C5D">
          <w:rPr>
            <w:color w:val="00A6B8"/>
            <w:sz w:val="24"/>
            <w:szCs w:val="24"/>
            <w:vertAlign w:val="superscript"/>
            <w:lang w:val="en-US"/>
          </w:rPr>
          <w:t>[6]</w:t>
        </w:r>
      </w:hyperlink>
    </w:p>
    <w:p w14:paraId="4664B42C"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In addition to the appendix section below, archival continuing education course developers may want to consult the following resources:</w:t>
      </w:r>
    </w:p>
    <w:p w14:paraId="4664B42D" w14:textId="77777777" w:rsidR="00265DA5" w:rsidRDefault="00A86A3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sz w:val="24"/>
          <w:szCs w:val="24"/>
        </w:rPr>
      </w:pPr>
      <w:hyperlink r:id="rId18">
        <w:r>
          <w:rPr>
            <w:color w:val="1155CC"/>
            <w:sz w:val="24"/>
            <w:szCs w:val="24"/>
            <w:u w:val="single"/>
          </w:rPr>
          <w:t>Online Courses for the Society of American Archivists: Toolkit for Instructors</w:t>
        </w:r>
      </w:hyperlink>
    </w:p>
    <w:p w14:paraId="4664B42E" w14:textId="77777777" w:rsidR="00265DA5" w:rsidRDefault="00A86A3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sz w:val="24"/>
          <w:szCs w:val="24"/>
        </w:rPr>
      </w:pPr>
      <w:hyperlink r:id="rId19">
        <w:r>
          <w:rPr>
            <w:color w:val="1155CC"/>
            <w:sz w:val="24"/>
            <w:szCs w:val="24"/>
            <w:u w:val="single"/>
          </w:rPr>
          <w:t>Accessibility and Inclusion Requirements and Guidance for Online and In-Person Education Sessions</w:t>
        </w:r>
      </w:hyperlink>
    </w:p>
    <w:p w14:paraId="4664B42F" w14:textId="77777777" w:rsidR="00265DA5" w:rsidRDefault="00A86A3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sz w:val="24"/>
          <w:szCs w:val="24"/>
        </w:rPr>
      </w:pPr>
      <w:hyperlink r:id="rId20">
        <w:r>
          <w:rPr>
            <w:color w:val="1155CC"/>
            <w:sz w:val="24"/>
            <w:szCs w:val="24"/>
            <w:u w:val="single"/>
          </w:rPr>
          <w:t>Inclusive Pedagogy Resources</w:t>
        </w:r>
      </w:hyperlink>
    </w:p>
    <w:p w14:paraId="4664B430"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Appended to these guidelines are materials intended to serve as a general “toolkit” to aid continuing education providers and users in developing and preparing to attend continuing education offerings:</w:t>
      </w:r>
    </w:p>
    <w:p w14:paraId="4664B431"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00A6B8"/>
          <w:sz w:val="24"/>
          <w:szCs w:val="24"/>
        </w:rPr>
      </w:pPr>
      <w:r>
        <w:rPr>
          <w:b/>
          <w:color w:val="222222"/>
          <w:sz w:val="24"/>
          <w:szCs w:val="24"/>
          <w:u w:val="single"/>
        </w:rPr>
        <w:lastRenderedPageBreak/>
        <w:t>Appendix 1</w:t>
      </w:r>
      <w:r>
        <w:rPr>
          <w:color w:val="222222"/>
          <w:sz w:val="24"/>
          <w:szCs w:val="24"/>
        </w:rPr>
        <w:t xml:space="preserve">: </w:t>
      </w:r>
      <w:hyperlink r:id="rId21">
        <w:r>
          <w:rPr>
            <w:color w:val="00A6B8"/>
            <w:sz w:val="24"/>
            <w:szCs w:val="24"/>
          </w:rPr>
          <w:t>Evolution of the ACE Guidelines</w:t>
        </w:r>
        <w:r>
          <w:rPr>
            <w:color w:val="00A6B8"/>
            <w:sz w:val="24"/>
            <w:szCs w:val="24"/>
          </w:rPr>
          <w:br/>
        </w:r>
      </w:hyperlink>
      <w:r>
        <w:rPr>
          <w:b/>
          <w:color w:val="222222"/>
          <w:sz w:val="24"/>
          <w:szCs w:val="24"/>
          <w:u w:val="single"/>
        </w:rPr>
        <w:t>Appendix 2</w:t>
      </w:r>
      <w:r>
        <w:rPr>
          <w:color w:val="222222"/>
          <w:sz w:val="24"/>
          <w:szCs w:val="24"/>
        </w:rPr>
        <w:t xml:space="preserve">: </w:t>
      </w:r>
      <w:hyperlink r:id="rId22">
        <w:r>
          <w:rPr>
            <w:color w:val="00A6B8"/>
            <w:sz w:val="24"/>
            <w:szCs w:val="24"/>
          </w:rPr>
          <w:t>Recommended Guidelines for Evaluating Instructor Qualifications</w:t>
        </w:r>
        <w:r>
          <w:rPr>
            <w:color w:val="00A6B8"/>
            <w:sz w:val="24"/>
            <w:szCs w:val="24"/>
          </w:rPr>
          <w:br/>
        </w:r>
      </w:hyperlink>
      <w:r>
        <w:rPr>
          <w:b/>
          <w:color w:val="222222"/>
          <w:sz w:val="24"/>
          <w:szCs w:val="24"/>
          <w:u w:val="single"/>
        </w:rPr>
        <w:t>Appendix 3</w:t>
      </w:r>
      <w:r>
        <w:rPr>
          <w:color w:val="222222"/>
          <w:sz w:val="24"/>
          <w:szCs w:val="24"/>
        </w:rPr>
        <w:t xml:space="preserve">: </w:t>
      </w:r>
      <w:hyperlink r:id="rId23">
        <w:r>
          <w:rPr>
            <w:color w:val="00A6B8"/>
            <w:sz w:val="24"/>
            <w:szCs w:val="24"/>
          </w:rPr>
          <w:t>Effective Delivery Formats</w:t>
        </w:r>
        <w:r>
          <w:rPr>
            <w:color w:val="00A6B8"/>
            <w:sz w:val="24"/>
            <w:szCs w:val="24"/>
          </w:rPr>
          <w:br/>
        </w:r>
      </w:hyperlink>
      <w:r>
        <w:rPr>
          <w:b/>
          <w:color w:val="222222"/>
          <w:sz w:val="24"/>
          <w:szCs w:val="24"/>
          <w:u w:val="single"/>
        </w:rPr>
        <w:t>Appendix 4</w:t>
      </w:r>
      <w:r>
        <w:rPr>
          <w:color w:val="222222"/>
          <w:sz w:val="24"/>
          <w:szCs w:val="24"/>
        </w:rPr>
        <w:t xml:space="preserve">: </w:t>
      </w:r>
      <w:hyperlink r:id="rId24">
        <w:r>
          <w:rPr>
            <w:color w:val="00A6B8"/>
            <w:sz w:val="24"/>
            <w:szCs w:val="24"/>
          </w:rPr>
          <w:t>Guidelines for Evaluating Continuing Education Programs</w:t>
        </w:r>
      </w:hyperlink>
    </w:p>
    <w:p w14:paraId="4664B432" w14:textId="77777777" w:rsidR="00265DA5" w:rsidRDefault="00A86A38">
      <w:pPr>
        <w:numPr>
          <w:ilvl w:val="0"/>
          <w:numId w:val="6"/>
        </w:numPr>
        <w:spacing w:before="240"/>
      </w:pPr>
      <w:hyperlink r:id="rId25">
        <w:r>
          <w:rPr>
            <w:color w:val="00A6B8"/>
            <w:sz w:val="24"/>
            <w:szCs w:val="24"/>
          </w:rPr>
          <w:t>Sample Evaluation Form for Individual Program and Instructor</w:t>
        </w:r>
      </w:hyperlink>
    </w:p>
    <w:p w14:paraId="4664B433" w14:textId="77777777" w:rsidR="00265DA5" w:rsidRDefault="00A86A38">
      <w:pPr>
        <w:numPr>
          <w:ilvl w:val="0"/>
          <w:numId w:val="6"/>
        </w:numPr>
        <w:spacing w:after="240"/>
      </w:pPr>
      <w:hyperlink r:id="rId26">
        <w:r>
          <w:rPr>
            <w:color w:val="00A6B8"/>
            <w:sz w:val="24"/>
            <w:szCs w:val="24"/>
          </w:rPr>
          <w:t>Sample Reviewer Evaluation Form</w:t>
        </w:r>
      </w:hyperlink>
    </w:p>
    <w:p w14:paraId="4664B434"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00A6B8"/>
          <w:sz w:val="24"/>
          <w:szCs w:val="24"/>
        </w:rPr>
      </w:pPr>
      <w:r>
        <w:rPr>
          <w:b/>
          <w:color w:val="222222"/>
          <w:sz w:val="24"/>
          <w:szCs w:val="24"/>
          <w:u w:val="single"/>
        </w:rPr>
        <w:t>Appendix 5</w:t>
      </w:r>
      <w:r>
        <w:rPr>
          <w:color w:val="222222"/>
          <w:sz w:val="24"/>
          <w:szCs w:val="24"/>
        </w:rPr>
        <w:t xml:space="preserve">: </w:t>
      </w:r>
      <w:hyperlink r:id="rId27">
        <w:r>
          <w:rPr>
            <w:color w:val="00A6B8"/>
            <w:sz w:val="24"/>
            <w:szCs w:val="24"/>
          </w:rPr>
          <w:t>Guidelines for an Ideal Course and Curriculum Development</w:t>
        </w:r>
      </w:hyperlink>
    </w:p>
    <w:p w14:paraId="4664B435"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 xml:space="preserve"> </w:t>
      </w:r>
    </w:p>
    <w:p w14:paraId="4664B436" w14:textId="77777777" w:rsidR="00265DA5" w:rsidRDefault="000126D1">
      <w:pPr>
        <w:shd w:val="clear" w:color="auto" w:fill="FFFFFF"/>
        <w:spacing w:line="384" w:lineRule="auto"/>
        <w:rPr>
          <w:color w:val="222222"/>
          <w:sz w:val="24"/>
          <w:szCs w:val="24"/>
        </w:rPr>
      </w:pPr>
      <w:r>
        <w:pict w14:anchorId="4664B4AA">
          <v:rect id="_x0000_i1025" style="width:0;height:1.5pt" o:hralign="center" o:hrstd="t" o:hr="t" fillcolor="#a0a0a0" stroked="f"/>
        </w:pict>
      </w:r>
    </w:p>
    <w:p w14:paraId="4664B437"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hyperlink r:id="rId28" w:anchor="_ftnref1">
        <w:r>
          <w:rPr>
            <w:color w:val="00A6B8"/>
            <w:sz w:val="24"/>
            <w:szCs w:val="24"/>
            <w:vertAlign w:val="superscript"/>
          </w:rPr>
          <w:t>[1]</w:t>
        </w:r>
      </w:hyperlink>
      <w:r>
        <w:rPr>
          <w:color w:val="222222"/>
          <w:sz w:val="24"/>
          <w:szCs w:val="24"/>
        </w:rPr>
        <w:t xml:space="preserve"> ACE "courses" is a generic term that includes online and in-person workshops, seminars, clinics, institutes, short courses, webinars, and asynchronous content such as recorded programs. See </w:t>
      </w:r>
      <w:hyperlink r:id="rId29">
        <w:r>
          <w:rPr>
            <w:color w:val="00A6B8"/>
            <w:sz w:val="24"/>
            <w:szCs w:val="24"/>
          </w:rPr>
          <w:t>Appendix 3: Effective Delivery Formats</w:t>
        </w:r>
      </w:hyperlink>
      <w:r>
        <w:rPr>
          <w:color w:val="222222"/>
          <w:sz w:val="24"/>
          <w:szCs w:val="24"/>
        </w:rPr>
        <w:t>.</w:t>
      </w:r>
    </w:p>
    <w:p w14:paraId="4664B438"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hyperlink r:id="rId30" w:anchor="_ftnref2">
        <w:r>
          <w:rPr>
            <w:color w:val="00A6B8"/>
            <w:sz w:val="24"/>
            <w:szCs w:val="24"/>
            <w:vertAlign w:val="superscript"/>
          </w:rPr>
          <w:t>[2]</w:t>
        </w:r>
      </w:hyperlink>
      <w:r>
        <w:rPr>
          <w:color w:val="222222"/>
          <w:sz w:val="24"/>
          <w:szCs w:val="24"/>
        </w:rPr>
        <w:t xml:space="preserve"> The Areas of Archival Knowledge list is taken directly from </w:t>
      </w:r>
      <w:hyperlink r:id="rId31">
        <w:r>
          <w:rPr>
            <w:color w:val="1155CC"/>
            <w:sz w:val="24"/>
            <w:szCs w:val="24"/>
            <w:u w:val="single"/>
          </w:rPr>
          <w:t>GPAS</w:t>
        </w:r>
      </w:hyperlink>
      <w:r>
        <w:rPr>
          <w:color w:val="222222"/>
          <w:sz w:val="24"/>
          <w:szCs w:val="24"/>
        </w:rPr>
        <w:t xml:space="preserve"> and informed by the ACA </w:t>
      </w:r>
      <w:hyperlink r:id="rId32">
        <w:r>
          <w:rPr>
            <w:color w:val="1155CC"/>
            <w:sz w:val="24"/>
            <w:szCs w:val="24"/>
            <w:u w:val="single"/>
          </w:rPr>
          <w:t>Role Delineation Statement for Professional Archivists</w:t>
        </w:r>
      </w:hyperlink>
      <w:r>
        <w:rPr>
          <w:color w:val="222222"/>
          <w:sz w:val="24"/>
          <w:szCs w:val="24"/>
        </w:rPr>
        <w:t>.</w:t>
      </w:r>
    </w:p>
    <w:p w14:paraId="4664B439"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hyperlink r:id="rId33" w:anchor="_ftnref4">
        <w:r>
          <w:rPr>
            <w:color w:val="00A6B8"/>
            <w:sz w:val="24"/>
            <w:szCs w:val="24"/>
            <w:vertAlign w:val="superscript"/>
          </w:rPr>
          <w:t>[3]</w:t>
        </w:r>
      </w:hyperlink>
      <w:r>
        <w:rPr>
          <w:color w:val="222222"/>
          <w:sz w:val="24"/>
          <w:szCs w:val="24"/>
        </w:rPr>
        <w:t xml:space="preserve"> See </w:t>
      </w:r>
      <w:hyperlink r:id="rId34">
        <w:r>
          <w:rPr>
            <w:color w:val="1155CC"/>
            <w:sz w:val="24"/>
            <w:szCs w:val="24"/>
            <w:u w:val="single"/>
          </w:rPr>
          <w:t>Education Fees and Policies from SAA</w:t>
        </w:r>
      </w:hyperlink>
      <w:r>
        <w:rPr>
          <w:color w:val="222222"/>
          <w:sz w:val="24"/>
          <w:szCs w:val="24"/>
        </w:rPr>
        <w:t xml:space="preserve">. </w:t>
      </w:r>
    </w:p>
    <w:p w14:paraId="4664B43A"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hyperlink r:id="rId35" w:anchor="_ftnref3">
        <w:r>
          <w:rPr>
            <w:color w:val="00A6B8"/>
            <w:sz w:val="24"/>
            <w:szCs w:val="24"/>
            <w:vertAlign w:val="superscript"/>
          </w:rPr>
          <w:t>[4]</w:t>
        </w:r>
      </w:hyperlink>
      <w:r>
        <w:rPr>
          <w:color w:val="222222"/>
          <w:sz w:val="24"/>
          <w:szCs w:val="24"/>
        </w:rPr>
        <w:t xml:space="preserve"> See </w:t>
      </w:r>
      <w:hyperlink r:id="rId36">
        <w:r>
          <w:rPr>
            <w:color w:val="00A6B8"/>
            <w:sz w:val="24"/>
            <w:szCs w:val="24"/>
          </w:rPr>
          <w:t>Appendix 5: Guidelines for an Ideal Course and Curriculum Development</w:t>
        </w:r>
      </w:hyperlink>
      <w:r>
        <w:rPr>
          <w:color w:val="222222"/>
          <w:sz w:val="24"/>
          <w:szCs w:val="24"/>
        </w:rPr>
        <w:t xml:space="preserve">. </w:t>
      </w:r>
    </w:p>
    <w:p w14:paraId="4664B43B"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hyperlink r:id="rId37" w:anchor="_ftnref4">
        <w:r>
          <w:rPr>
            <w:color w:val="00A6B8"/>
            <w:sz w:val="24"/>
            <w:szCs w:val="24"/>
            <w:vertAlign w:val="superscript"/>
          </w:rPr>
          <w:t>[5]</w:t>
        </w:r>
      </w:hyperlink>
      <w:r>
        <w:rPr>
          <w:color w:val="222222"/>
          <w:sz w:val="24"/>
          <w:szCs w:val="24"/>
        </w:rPr>
        <w:t xml:space="preserve"> See </w:t>
      </w:r>
      <w:hyperlink r:id="rId38">
        <w:r>
          <w:rPr>
            <w:color w:val="00A6B8"/>
            <w:sz w:val="24"/>
            <w:szCs w:val="24"/>
          </w:rPr>
          <w:t>Appendix 2: Recommended Guidelines for Evaluating Instructor Qualifications</w:t>
        </w:r>
      </w:hyperlink>
      <w:r>
        <w:rPr>
          <w:color w:val="222222"/>
          <w:sz w:val="24"/>
          <w:szCs w:val="24"/>
        </w:rPr>
        <w:t>.</w:t>
      </w:r>
    </w:p>
    <w:p w14:paraId="4664B43C"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hyperlink r:id="rId39" w:anchor="_ftnref5">
        <w:r>
          <w:rPr>
            <w:color w:val="00A6B8"/>
            <w:sz w:val="24"/>
            <w:szCs w:val="24"/>
            <w:vertAlign w:val="superscript"/>
          </w:rPr>
          <w:t>[6]</w:t>
        </w:r>
      </w:hyperlink>
      <w:r>
        <w:rPr>
          <w:color w:val="222222"/>
          <w:sz w:val="24"/>
          <w:szCs w:val="24"/>
        </w:rPr>
        <w:t xml:space="preserve"> See </w:t>
      </w:r>
      <w:hyperlink r:id="rId40">
        <w:r>
          <w:rPr>
            <w:color w:val="00A6B8"/>
            <w:sz w:val="24"/>
            <w:szCs w:val="24"/>
          </w:rPr>
          <w:t>Appendix 4: Guidelines for Evaluating Continuing Education Programs</w:t>
        </w:r>
      </w:hyperlink>
      <w:r>
        <w:rPr>
          <w:color w:val="222222"/>
          <w:sz w:val="24"/>
          <w:szCs w:val="24"/>
        </w:rPr>
        <w:t xml:space="preserve"> and sample evaluation forms.</w:t>
      </w:r>
    </w:p>
    <w:p w14:paraId="4664B43D"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 xml:space="preserve"> </w:t>
      </w:r>
    </w:p>
    <w:p w14:paraId="4664B43E" w14:textId="77777777" w:rsidR="00265DA5" w:rsidRDefault="000126D1">
      <w:pPr>
        <w:shd w:val="clear" w:color="auto" w:fill="FFFFFF"/>
        <w:spacing w:line="384" w:lineRule="auto"/>
        <w:rPr>
          <w:color w:val="222222"/>
          <w:sz w:val="24"/>
          <w:szCs w:val="24"/>
        </w:rPr>
      </w:pPr>
      <w:r>
        <w:pict w14:anchorId="4664B4AB">
          <v:rect id="_x0000_i1026" style="width:0;height:1.5pt" o:hralign="center" o:hrstd="t" o:hr="t" fillcolor="#a0a0a0" stroked="f"/>
        </w:pict>
      </w:r>
    </w:p>
    <w:p w14:paraId="4664B43F"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 xml:space="preserve"> </w:t>
      </w:r>
    </w:p>
    <w:p w14:paraId="4664B440" w14:textId="77777777" w:rsidR="00265DA5" w:rsidRDefault="00A86A38">
      <w:pPr>
        <w:numPr>
          <w:ilvl w:val="0"/>
          <w:numId w:val="9"/>
        </w:numPr>
        <w:pBdr>
          <w:top w:val="none" w:sz="0" w:space="6" w:color="000000"/>
          <w:bottom w:val="none" w:sz="0" w:space="6" w:color="000000"/>
          <w:right w:val="none" w:sz="0" w:space="0" w:color="000000"/>
          <w:between w:val="none" w:sz="0" w:space="6" w:color="000000"/>
        </w:pBdr>
      </w:pPr>
      <w:hyperlink r:id="rId41">
        <w:r>
          <w:rPr>
            <w:color w:val="00A6B8"/>
            <w:sz w:val="24"/>
            <w:szCs w:val="24"/>
          </w:rPr>
          <w:t>Appendix 1: Evolution of the ACE Guidelines</w:t>
        </w:r>
      </w:hyperlink>
      <w:r>
        <w:fldChar w:fldCharType="begin"/>
      </w:r>
      <w:r>
        <w:instrText xml:space="preserve"> HYPERLINK "https://www2.archivists.org/prof-education/ace-guidelines-2017/appendix-1" </w:instrText>
      </w:r>
      <w:r>
        <w:fldChar w:fldCharType="separate"/>
      </w:r>
    </w:p>
    <w:p w14:paraId="4664B441" w14:textId="77777777" w:rsidR="00265DA5" w:rsidRDefault="00A86A38">
      <w:pPr>
        <w:numPr>
          <w:ilvl w:val="0"/>
          <w:numId w:val="9"/>
        </w:numPr>
        <w:pBdr>
          <w:top w:val="none" w:sz="0" w:space="6" w:color="000000"/>
          <w:bottom w:val="none" w:sz="0" w:space="6" w:color="000000"/>
          <w:right w:val="none" w:sz="0" w:space="0" w:color="000000"/>
          <w:between w:val="none" w:sz="0" w:space="6" w:color="000000"/>
        </w:pBdr>
      </w:pPr>
      <w:r>
        <w:fldChar w:fldCharType="end"/>
      </w:r>
      <w:hyperlink r:id="rId42">
        <w:r>
          <w:rPr>
            <w:color w:val="00A6B8"/>
            <w:sz w:val="24"/>
            <w:szCs w:val="24"/>
          </w:rPr>
          <w:t>Appendix 2: Recommended Guidelines for Evaluating Instructor Qualifications</w:t>
        </w:r>
      </w:hyperlink>
      <w:r>
        <w:fldChar w:fldCharType="begin"/>
      </w:r>
      <w:r>
        <w:instrText xml:space="preserve"> HYPERLINK "https://www2.archivists.org/prof-education/ace-guidelines-2017/appendix-2" </w:instrText>
      </w:r>
      <w:r>
        <w:fldChar w:fldCharType="separate"/>
      </w:r>
    </w:p>
    <w:p w14:paraId="4664B442" w14:textId="77777777" w:rsidR="00265DA5" w:rsidRDefault="00A86A38">
      <w:pPr>
        <w:numPr>
          <w:ilvl w:val="0"/>
          <w:numId w:val="9"/>
        </w:numPr>
        <w:pBdr>
          <w:top w:val="none" w:sz="0" w:space="6" w:color="000000"/>
          <w:bottom w:val="none" w:sz="0" w:space="6" w:color="000000"/>
          <w:right w:val="none" w:sz="0" w:space="0" w:color="000000"/>
          <w:between w:val="none" w:sz="0" w:space="6" w:color="000000"/>
        </w:pBdr>
      </w:pPr>
      <w:r>
        <w:fldChar w:fldCharType="end"/>
      </w:r>
      <w:hyperlink r:id="rId43">
        <w:r>
          <w:rPr>
            <w:color w:val="00A6B8"/>
            <w:sz w:val="24"/>
            <w:szCs w:val="24"/>
          </w:rPr>
          <w:t>Appendix 3: Effective Delivery Formats</w:t>
        </w:r>
      </w:hyperlink>
      <w:r>
        <w:fldChar w:fldCharType="begin"/>
      </w:r>
      <w:r>
        <w:instrText xml:space="preserve"> HYPERLINK "https://www2.archivists.org/prof-education/ace-guidelines-2017/appendix-3" </w:instrText>
      </w:r>
      <w:r>
        <w:fldChar w:fldCharType="separate"/>
      </w:r>
    </w:p>
    <w:p w14:paraId="4664B443" w14:textId="77777777" w:rsidR="00265DA5" w:rsidRDefault="00A86A38">
      <w:pPr>
        <w:numPr>
          <w:ilvl w:val="0"/>
          <w:numId w:val="9"/>
        </w:numPr>
        <w:pBdr>
          <w:top w:val="none" w:sz="0" w:space="6" w:color="000000"/>
          <w:bottom w:val="none" w:sz="0" w:space="6" w:color="000000"/>
          <w:right w:val="none" w:sz="0" w:space="0" w:color="000000"/>
          <w:between w:val="none" w:sz="0" w:space="6" w:color="000000"/>
        </w:pBdr>
      </w:pPr>
      <w:r>
        <w:fldChar w:fldCharType="end"/>
      </w:r>
      <w:hyperlink r:id="rId44">
        <w:r>
          <w:rPr>
            <w:color w:val="00A6B8"/>
            <w:sz w:val="24"/>
            <w:szCs w:val="24"/>
          </w:rPr>
          <w:t>Appendix 4: Guidelines for Evaluating Continuing Education Programs</w:t>
        </w:r>
      </w:hyperlink>
      <w:r>
        <w:fldChar w:fldCharType="begin"/>
      </w:r>
      <w:r>
        <w:instrText xml:space="preserve"> HYPERLINK "https://www2.archivists.org/prof-education/ace-guidelines-2017/appendix-4" </w:instrText>
      </w:r>
      <w:r>
        <w:fldChar w:fldCharType="separate"/>
      </w:r>
    </w:p>
    <w:p w14:paraId="4664B444" w14:textId="77777777" w:rsidR="00265DA5" w:rsidRDefault="00A86A38">
      <w:pPr>
        <w:numPr>
          <w:ilvl w:val="0"/>
          <w:numId w:val="9"/>
        </w:numPr>
        <w:pBdr>
          <w:top w:val="none" w:sz="0" w:space="6" w:color="000000"/>
          <w:bottom w:val="none" w:sz="0" w:space="6" w:color="000000"/>
          <w:right w:val="none" w:sz="0" w:space="0" w:color="000000"/>
          <w:between w:val="none" w:sz="0" w:space="6" w:color="000000"/>
        </w:pBdr>
      </w:pPr>
      <w:r>
        <w:fldChar w:fldCharType="end"/>
      </w:r>
      <w:hyperlink r:id="rId45">
        <w:r>
          <w:rPr>
            <w:color w:val="00A6B8"/>
            <w:sz w:val="24"/>
            <w:szCs w:val="24"/>
          </w:rPr>
          <w:t>Appendix 5: Guidelines for an Ideal Course and Curriculum Development</w:t>
        </w:r>
      </w:hyperlink>
      <w:r>
        <w:fldChar w:fldCharType="begin"/>
      </w:r>
      <w:r>
        <w:instrText xml:space="preserve"> HYPERLINK "https://www2.archivists.org/prof-education/ace-guidelines-2017/appendix-5" </w:instrText>
      </w:r>
      <w:r>
        <w:fldChar w:fldCharType="separate"/>
      </w:r>
    </w:p>
    <w:p w14:paraId="4664B445" w14:textId="77777777" w:rsidR="00265DA5" w:rsidRDefault="00A86A38">
      <w:pPr>
        <w:shd w:val="clear" w:color="auto" w:fill="FFFFFF"/>
        <w:spacing w:before="460" w:line="384" w:lineRule="auto"/>
        <w:jc w:val="right"/>
        <w:rPr>
          <w:color w:val="00A6B8"/>
          <w:sz w:val="24"/>
          <w:szCs w:val="24"/>
        </w:rPr>
      </w:pPr>
      <w:r>
        <w:fldChar w:fldCharType="end"/>
      </w:r>
      <w:r>
        <w:fldChar w:fldCharType="begin"/>
      </w:r>
      <w:r>
        <w:instrText xml:space="preserve"> HYPERLINK "https://www2.archivists.org/prof-education/ace-guidelines-2017/appendix-1" </w:instrText>
      </w:r>
      <w:r>
        <w:fldChar w:fldCharType="separate"/>
      </w:r>
      <w:r>
        <w:rPr>
          <w:color w:val="00A6B8"/>
          <w:sz w:val="24"/>
          <w:szCs w:val="24"/>
        </w:rPr>
        <w:t>Appendix 1: Evolution of the ACE Guidelines ›</w:t>
      </w:r>
    </w:p>
    <w:p w14:paraId="4664B446" w14:textId="77777777" w:rsidR="00265DA5" w:rsidRDefault="00A86A38">
      <w:r>
        <w:fldChar w:fldCharType="end"/>
      </w:r>
    </w:p>
    <w:p w14:paraId="4664B447" w14:textId="77777777" w:rsidR="00265DA5" w:rsidRDefault="00265DA5"/>
    <w:p w14:paraId="4664B448" w14:textId="77777777" w:rsidR="00265DA5" w:rsidRDefault="00A86A38">
      <w:r>
        <w:br w:type="page"/>
      </w:r>
    </w:p>
    <w:p w14:paraId="4664B449" w14:textId="77777777" w:rsidR="00265DA5" w:rsidRDefault="00A86A38">
      <w:pPr>
        <w:shd w:val="clear" w:color="auto" w:fill="FFFFFF"/>
        <w:spacing w:after="80"/>
        <w:rPr>
          <w:color w:val="A0A0A0"/>
          <w:sz w:val="15"/>
          <w:szCs w:val="15"/>
        </w:rPr>
      </w:pPr>
      <w:hyperlink r:id="rId46">
        <w:r>
          <w:rPr>
            <w:color w:val="A0A0A0"/>
            <w:sz w:val="15"/>
            <w:szCs w:val="15"/>
          </w:rPr>
          <w:t>HOME</w:t>
        </w:r>
      </w:hyperlink>
      <w:r>
        <w:rPr>
          <w:color w:val="A0A0A0"/>
          <w:sz w:val="15"/>
          <w:szCs w:val="15"/>
        </w:rPr>
        <w:t xml:space="preserve"> » </w:t>
      </w:r>
      <w:hyperlink r:id="rId47">
        <w:r>
          <w:rPr>
            <w:color w:val="A0A0A0"/>
            <w:sz w:val="15"/>
            <w:szCs w:val="15"/>
          </w:rPr>
          <w:t>ARCHIVAL CONTINUING EDUCATION (ACE) GUIDELINES (2017)</w:t>
        </w:r>
      </w:hyperlink>
    </w:p>
    <w:p w14:paraId="4664B44A" w14:textId="77777777" w:rsidR="00265DA5" w:rsidRDefault="00A86A38">
      <w:pPr>
        <w:pStyle w:val="Heading1"/>
        <w:keepNext w:val="0"/>
        <w:keepLines w:val="0"/>
        <w:pBdr>
          <w:top w:val="none" w:sz="0" w:space="0" w:color="000000"/>
          <w:left w:val="none" w:sz="0" w:space="0" w:color="000000"/>
          <w:bottom w:val="single" w:sz="10" w:space="3" w:color="335F85"/>
          <w:right w:val="none" w:sz="0" w:space="0" w:color="000000"/>
        </w:pBdr>
        <w:shd w:val="clear" w:color="auto" w:fill="FFFFFF"/>
        <w:spacing w:before="0" w:after="160" w:line="270" w:lineRule="auto"/>
        <w:rPr>
          <w:b/>
          <w:color w:val="335F85"/>
          <w:sz w:val="43"/>
          <w:szCs w:val="43"/>
        </w:rPr>
      </w:pPr>
      <w:bookmarkStart w:id="4" w:name="_heading=h.m35gkl2xmfzh" w:colFirst="0" w:colLast="0"/>
      <w:bookmarkEnd w:id="4"/>
      <w:r>
        <w:rPr>
          <w:b/>
          <w:color w:val="335F85"/>
          <w:sz w:val="43"/>
          <w:szCs w:val="43"/>
        </w:rPr>
        <w:t>Appendix 1: Evolution of the ACE Guidelines</w:t>
      </w:r>
    </w:p>
    <w:p w14:paraId="4664B44B"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 xml:space="preserve">A field as complex and rapidly changing as the archival profession requires effective continuing education and training. In 1997, SAA adopted “Guidelines for the Development of Post-Appointment and Continuing Education and Training Programs” (PACE), which had as its basis the Guidelines for a Graduate Program in Archival Studies (GPAS) guidelines. The ACE Guidelines resulted from a scheduled review and revision of </w:t>
      </w:r>
      <w:hyperlink r:id="rId48">
        <w:r>
          <w:rPr>
            <w:color w:val="00A6B8"/>
            <w:sz w:val="24"/>
            <w:szCs w:val="24"/>
          </w:rPr>
          <w:t>PACE in 2005 – 2006</w:t>
        </w:r>
      </w:hyperlink>
      <w:r>
        <w:rPr>
          <w:color w:val="222222"/>
          <w:sz w:val="24"/>
          <w:szCs w:val="24"/>
        </w:rPr>
        <w:t xml:space="preserve">. The ACE Guidelines adopted by the SAA Council in </w:t>
      </w:r>
      <w:hyperlink r:id="rId49">
        <w:r>
          <w:rPr>
            <w:color w:val="00A6B8"/>
            <w:sz w:val="24"/>
            <w:szCs w:val="24"/>
          </w:rPr>
          <w:t xml:space="preserve">2006 </w:t>
        </w:r>
      </w:hyperlink>
      <w:r>
        <w:rPr>
          <w:color w:val="222222"/>
          <w:sz w:val="24"/>
          <w:szCs w:val="24"/>
        </w:rPr>
        <w:t>incorporate information from SAA’s 2002 GPAS guidelines and the Academy of Certified Archivists’ 2003 Role Delineation Statement Revision.</w:t>
      </w:r>
    </w:p>
    <w:p w14:paraId="4664B44C"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 xml:space="preserve">In 2017, the Committee on Education </w:t>
      </w:r>
      <w:hyperlink r:id="rId50">
        <w:r>
          <w:rPr>
            <w:color w:val="00A6B8"/>
            <w:sz w:val="24"/>
            <w:szCs w:val="24"/>
          </w:rPr>
          <w:t>revised the ACE Guidelines</w:t>
        </w:r>
      </w:hyperlink>
      <w:r>
        <w:rPr>
          <w:color w:val="222222"/>
          <w:sz w:val="24"/>
          <w:szCs w:val="24"/>
        </w:rPr>
        <w:t xml:space="preserve"> to be in better accordance with a 2016 revision of the Guidelines for a Graduate Program in Archival Studies. During the 2017 ACE revision, an appendix referencing the 2004-2005 A*CENSUS was removed due to concerns about the census being outdated.</w:t>
      </w:r>
    </w:p>
    <w:p w14:paraId="4664B44D"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In 2025, the Committee on Education revised the ACE Guidelines to reflect a 2023 revision of the Guidelines for a Graduate Program in Archival Studies and revisions to other sources, as well as evolving trends in course delivery, instruction, and archival practice.</w:t>
      </w:r>
    </w:p>
    <w:p w14:paraId="4664B44E" w14:textId="77777777" w:rsidR="00265DA5" w:rsidRDefault="00265DA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p>
    <w:p w14:paraId="4664B44F"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br w:type="page"/>
      </w:r>
    </w:p>
    <w:p w14:paraId="4664B450" w14:textId="77777777" w:rsidR="00265DA5" w:rsidRDefault="00A86A38">
      <w:pPr>
        <w:pStyle w:val="Heading1"/>
        <w:keepNext w:val="0"/>
        <w:keepLines w:val="0"/>
        <w:pBdr>
          <w:top w:val="none" w:sz="0" w:space="0" w:color="000000"/>
          <w:left w:val="none" w:sz="0" w:space="0" w:color="000000"/>
          <w:bottom w:val="single" w:sz="10" w:space="3" w:color="335F85"/>
          <w:right w:val="none" w:sz="0" w:space="0" w:color="000000"/>
          <w:between w:val="none" w:sz="0" w:space="0" w:color="000000"/>
        </w:pBdr>
        <w:shd w:val="clear" w:color="auto" w:fill="FFFFFF"/>
        <w:spacing w:before="0" w:after="160" w:line="270" w:lineRule="auto"/>
        <w:rPr>
          <w:color w:val="222222"/>
          <w:sz w:val="24"/>
          <w:szCs w:val="24"/>
        </w:rPr>
      </w:pPr>
      <w:bookmarkStart w:id="5" w:name="_heading=h.d7nm2oqv9isk" w:colFirst="0" w:colLast="0"/>
      <w:bookmarkEnd w:id="5"/>
      <w:r>
        <w:rPr>
          <w:b/>
          <w:color w:val="335F85"/>
          <w:sz w:val="43"/>
          <w:szCs w:val="43"/>
        </w:rPr>
        <w:lastRenderedPageBreak/>
        <w:t>Appendix 2: Recommended Guidelines for Evaluating Instructor Qualifications</w:t>
      </w:r>
    </w:p>
    <w:p w14:paraId="4664B451"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sz w:val="24"/>
          <w:szCs w:val="24"/>
          <w:highlight w:val="white"/>
          <w:lang w:val="en-US"/>
        </w:rPr>
      </w:pPr>
      <w:r>
        <w:br/>
      </w:r>
      <w:r w:rsidRPr="5D507C5D">
        <w:rPr>
          <w:sz w:val="24"/>
          <w:szCs w:val="24"/>
          <w:highlight w:val="white"/>
          <w:lang w:val="en-US"/>
        </w:rPr>
        <w:t>These guidelines are intended both for providers of archival continuing education in evaluating instructor qualifications and for those considering becoming instructors of archival education. Additional audiences may find these guidelines helpful as well.</w:t>
      </w:r>
    </w:p>
    <w:p w14:paraId="4664B452"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sz w:val="24"/>
          <w:szCs w:val="24"/>
          <w:highlight w:val="white"/>
          <w:lang w:val="en-US"/>
        </w:rPr>
        <w:t>Instructors may possess a variety of areas of expertise and come from diverse professional backgrounds, but excellent communication skills are necessary for effective instruction.</w:t>
      </w:r>
      <w:r w:rsidRPr="5D507C5D">
        <w:rPr>
          <w:sz w:val="24"/>
          <w:szCs w:val="24"/>
          <w:lang w:val="en-US"/>
        </w:rPr>
        <w:t xml:space="preserve"> Instructor qualifications are not limited to academic expertise and may also include practical experience and communication skills. Examples may include, but are not limited to: </w:t>
      </w:r>
    </w:p>
    <w:p w14:paraId="4664B453" w14:textId="77777777" w:rsidR="00265DA5" w:rsidRDefault="00A86A38">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line="384" w:lineRule="auto"/>
        <w:rPr>
          <w:color w:val="222222"/>
          <w:sz w:val="24"/>
          <w:szCs w:val="24"/>
        </w:rPr>
      </w:pPr>
      <w:r>
        <w:rPr>
          <w:color w:val="222222"/>
          <w:sz w:val="24"/>
          <w:szCs w:val="24"/>
        </w:rPr>
        <w:t>Archival or library instructional experience, or other teaching experience.</w:t>
      </w:r>
    </w:p>
    <w:p w14:paraId="4664B454" w14:textId="77777777" w:rsidR="00265DA5" w:rsidRDefault="00A86A38">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Presentations at conferences, or other public speaking experiences.</w:t>
      </w:r>
    </w:p>
    <w:p w14:paraId="4664B455" w14:textId="77777777" w:rsidR="00265DA5" w:rsidRDefault="00A86A38">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Archival practice in the given subject matter.</w:t>
      </w:r>
    </w:p>
    <w:p w14:paraId="4664B456" w14:textId="77777777" w:rsidR="00265DA5" w:rsidRDefault="00A86A38">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Publications.</w:t>
      </w:r>
    </w:p>
    <w:p w14:paraId="4664B457" w14:textId="77777777" w:rsidR="00265DA5" w:rsidRDefault="00A86A38" w:rsidP="5D507C5D">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pPr>
      <w:r w:rsidRPr="5D507C5D">
        <w:rPr>
          <w:color w:val="222222"/>
          <w:sz w:val="24"/>
          <w:szCs w:val="24"/>
          <w:lang w:val="en-US"/>
        </w:rPr>
        <w:t>Work in related professional associations.</w:t>
      </w:r>
    </w:p>
    <w:p w14:paraId="4664B458" w14:textId="77777777" w:rsidR="00265DA5" w:rsidRDefault="00A86A38">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Education or training received.</w:t>
      </w:r>
    </w:p>
    <w:p w14:paraId="4664B459" w14:textId="77777777" w:rsidR="00265DA5" w:rsidRDefault="00A86A38">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Training staff or volunteers.</w:t>
      </w:r>
    </w:p>
    <w:p w14:paraId="4664B45A" w14:textId="77777777" w:rsidR="00265DA5" w:rsidRDefault="00A86A38" w:rsidP="5D507C5D">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240" w:line="384" w:lineRule="auto"/>
      </w:pPr>
      <w:r w:rsidRPr="5D507C5D">
        <w:rPr>
          <w:color w:val="222222"/>
          <w:sz w:val="24"/>
          <w:szCs w:val="24"/>
          <w:lang w:val="en-US"/>
        </w:rPr>
        <w:t>Relevant experience from other professions.</w:t>
      </w:r>
    </w:p>
    <w:p w14:paraId="4664B45B"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Instructors should demonstrate an ability or a strong potential to teach effectively. This could be confirmed by a successful instruction record; experience leading workshops or training staff or volunteers; or completion of instructor training geared toward adult education. Potential instructors are welcome to consult with Committee on Education members or the Education Director to discuss their qualifications.</w:t>
      </w:r>
    </w:p>
    <w:p w14:paraId="4664B45C"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br w:type="page"/>
      </w:r>
    </w:p>
    <w:p w14:paraId="4664B45D" w14:textId="77777777" w:rsidR="00265DA5" w:rsidRDefault="00A86A38">
      <w:pPr>
        <w:pStyle w:val="Heading1"/>
        <w:keepNext w:val="0"/>
        <w:keepLines w:val="0"/>
        <w:pBdr>
          <w:top w:val="none" w:sz="0" w:space="0" w:color="000000"/>
          <w:left w:val="none" w:sz="0" w:space="0" w:color="000000"/>
          <w:bottom w:val="single" w:sz="10" w:space="3" w:color="335F85"/>
          <w:right w:val="none" w:sz="0" w:space="0" w:color="000000"/>
          <w:between w:val="none" w:sz="0" w:space="0" w:color="000000"/>
        </w:pBdr>
        <w:shd w:val="clear" w:color="auto" w:fill="FFFFFF"/>
        <w:spacing w:before="0" w:after="160" w:line="270" w:lineRule="auto"/>
        <w:rPr>
          <w:b/>
          <w:color w:val="335F85"/>
          <w:sz w:val="43"/>
          <w:szCs w:val="43"/>
        </w:rPr>
      </w:pPr>
      <w:bookmarkStart w:id="6" w:name="_heading=h.huzx2usdybop" w:colFirst="0" w:colLast="0"/>
      <w:bookmarkEnd w:id="6"/>
      <w:r>
        <w:rPr>
          <w:b/>
          <w:color w:val="335F85"/>
          <w:sz w:val="43"/>
          <w:szCs w:val="43"/>
        </w:rPr>
        <w:lastRenderedPageBreak/>
        <w:t>Appendix 3: Effective Delivery Formats</w:t>
      </w:r>
    </w:p>
    <w:p w14:paraId="4664B45E"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There are a variety of in-person and online delivery formats within continuing education. Some continuing education programs result in a certificate for completing a series of courses. The below provides some examples of continuing education formats and their advantages and limitations.</w:t>
      </w:r>
    </w:p>
    <w:p w14:paraId="4664B45F" w14:textId="77777777" w:rsidR="00265DA5" w:rsidRDefault="00A86A38">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80" w:after="160" w:line="268" w:lineRule="auto"/>
        <w:rPr>
          <w:b/>
          <w:color w:val="003D68"/>
          <w:sz w:val="29"/>
          <w:szCs w:val="29"/>
        </w:rPr>
      </w:pPr>
      <w:bookmarkStart w:id="7" w:name="_heading=h.v4beikrizqv4" w:colFirst="0" w:colLast="0"/>
      <w:bookmarkEnd w:id="7"/>
      <w:r>
        <w:rPr>
          <w:b/>
          <w:color w:val="003D68"/>
          <w:sz w:val="29"/>
          <w:szCs w:val="29"/>
        </w:rPr>
        <w:t>Synchronous Formats</w:t>
      </w:r>
    </w:p>
    <w:p w14:paraId="4664B460" w14:textId="77777777" w:rsidR="00265DA5" w:rsidRDefault="00A86A38">
      <w:proofErr w:type="gramStart"/>
      <w:r w:rsidRPr="5D507C5D">
        <w:rPr>
          <w:lang w:val="en-US"/>
        </w:rPr>
        <w:t>All of</w:t>
      </w:r>
      <w:proofErr w:type="gramEnd"/>
      <w:r w:rsidRPr="5D507C5D">
        <w:rPr>
          <w:lang w:val="en-US"/>
        </w:rPr>
        <w:t xml:space="preserve"> these formats take place in real time, whether online or in person. Institutes typically take place in-person only, while other formats may take place in person or online.</w:t>
      </w:r>
    </w:p>
    <w:p w14:paraId="4664B461" w14:textId="77777777" w:rsidR="00265DA5" w:rsidRDefault="00265DA5"/>
    <w:p w14:paraId="4664B462"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b/>
          <w:bCs/>
          <w:color w:val="222222"/>
          <w:sz w:val="24"/>
          <w:szCs w:val="24"/>
          <w:lang w:val="en-US"/>
        </w:rPr>
        <w:t>Course (Co)</w:t>
      </w:r>
      <w:proofErr w:type="gramStart"/>
      <w:r w:rsidRPr="5D507C5D">
        <w:rPr>
          <w:color w:val="222222"/>
          <w:sz w:val="24"/>
          <w:szCs w:val="24"/>
          <w:lang w:val="en-US"/>
        </w:rPr>
        <w:t>:  A</w:t>
      </w:r>
      <w:proofErr w:type="gramEnd"/>
      <w:r w:rsidRPr="5D507C5D">
        <w:rPr>
          <w:color w:val="222222"/>
          <w:sz w:val="24"/>
          <w:szCs w:val="24"/>
          <w:lang w:val="en-US"/>
        </w:rPr>
        <w:t xml:space="preserve"> relatively short-term, intensive, problem-focused learning experience that actively involves participants in the identification and analysis of problems and in the development and evaluation of solutions. A course may last for just a few hours or may take place over multiple days.</w:t>
      </w:r>
    </w:p>
    <w:p w14:paraId="4664B463"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b/>
          <w:bCs/>
          <w:color w:val="222222"/>
          <w:sz w:val="24"/>
          <w:szCs w:val="24"/>
          <w:lang w:val="en-US"/>
        </w:rPr>
        <w:t>Seminar (S)</w:t>
      </w:r>
      <w:proofErr w:type="gramStart"/>
      <w:r w:rsidRPr="5D507C5D">
        <w:rPr>
          <w:b/>
          <w:bCs/>
          <w:color w:val="222222"/>
          <w:sz w:val="24"/>
          <w:szCs w:val="24"/>
          <w:lang w:val="en-US"/>
        </w:rPr>
        <w:t>:</w:t>
      </w:r>
      <w:r w:rsidRPr="5D507C5D">
        <w:rPr>
          <w:color w:val="222222"/>
          <w:sz w:val="24"/>
          <w:szCs w:val="24"/>
          <w:lang w:val="en-US"/>
        </w:rPr>
        <w:t xml:space="preserve">  A</w:t>
      </w:r>
      <w:proofErr w:type="gramEnd"/>
      <w:r w:rsidRPr="5D507C5D">
        <w:rPr>
          <w:color w:val="222222"/>
          <w:sz w:val="24"/>
          <w:szCs w:val="24"/>
          <w:lang w:val="en-US"/>
        </w:rPr>
        <w:t xml:space="preserve"> session or series of sessions in which a group of experienced people meet with one or more knowledgeable resource persons to discuss a given content area.</w:t>
      </w:r>
    </w:p>
    <w:p w14:paraId="4664B464"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b/>
          <w:bCs/>
          <w:color w:val="222222"/>
          <w:sz w:val="24"/>
          <w:szCs w:val="24"/>
          <w:lang w:val="en-US"/>
        </w:rPr>
        <w:t>Institute (I)</w:t>
      </w:r>
      <w:proofErr w:type="gramStart"/>
      <w:r w:rsidRPr="5D507C5D">
        <w:rPr>
          <w:b/>
          <w:bCs/>
          <w:color w:val="222222"/>
          <w:sz w:val="24"/>
          <w:szCs w:val="24"/>
          <w:lang w:val="en-US"/>
        </w:rPr>
        <w:t>:</w:t>
      </w:r>
      <w:r w:rsidRPr="5D507C5D">
        <w:rPr>
          <w:color w:val="222222"/>
          <w:sz w:val="24"/>
          <w:szCs w:val="24"/>
          <w:lang w:val="en-US"/>
        </w:rPr>
        <w:t xml:space="preserve">  A</w:t>
      </w:r>
      <w:proofErr w:type="gramEnd"/>
      <w:r w:rsidRPr="5D507C5D">
        <w:rPr>
          <w:color w:val="222222"/>
          <w:sz w:val="24"/>
          <w:szCs w:val="24"/>
          <w:lang w:val="en-US"/>
        </w:rPr>
        <w:t xml:space="preserve"> short-term, often residential program, that fosters intensive learning on a well-defined topic. New material is presented to add to the knowledge that the participants already have on the subject.</w:t>
      </w:r>
    </w:p>
    <w:p w14:paraId="4664B465"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b/>
          <w:bCs/>
          <w:color w:val="222222"/>
          <w:sz w:val="24"/>
          <w:szCs w:val="24"/>
          <w:lang w:val="en-US"/>
        </w:rPr>
        <w:t xml:space="preserve">Workshop (W): </w:t>
      </w:r>
      <w:r w:rsidRPr="5D507C5D">
        <w:rPr>
          <w:color w:val="222222"/>
          <w:sz w:val="24"/>
          <w:szCs w:val="24"/>
          <w:lang w:val="en-US"/>
        </w:rPr>
        <w:t>A short-term program organized around a specific topic that is designed to build practical knowledge on a process, tool, or activity. Workshops emphasize hands-on activity, and attendees may bring their own projects to work on.</w:t>
      </w:r>
    </w:p>
    <w:p w14:paraId="4664B466"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b/>
          <w:bCs/>
          <w:color w:val="222222"/>
          <w:sz w:val="24"/>
          <w:szCs w:val="24"/>
          <w:lang w:val="en-US"/>
        </w:rPr>
        <w:t>Clinic (Cl)</w:t>
      </w:r>
      <w:proofErr w:type="gramStart"/>
      <w:r w:rsidRPr="5D507C5D">
        <w:rPr>
          <w:b/>
          <w:bCs/>
          <w:color w:val="222222"/>
          <w:sz w:val="24"/>
          <w:szCs w:val="24"/>
          <w:lang w:val="en-US"/>
        </w:rPr>
        <w:t>:</w:t>
      </w:r>
      <w:r w:rsidRPr="5D507C5D">
        <w:rPr>
          <w:color w:val="222222"/>
          <w:sz w:val="24"/>
          <w:szCs w:val="24"/>
          <w:lang w:val="en-US"/>
        </w:rPr>
        <w:t xml:space="preserve">  A</w:t>
      </w:r>
      <w:proofErr w:type="gramEnd"/>
      <w:r w:rsidRPr="5D507C5D">
        <w:rPr>
          <w:color w:val="222222"/>
          <w:sz w:val="24"/>
          <w:szCs w:val="24"/>
          <w:lang w:val="en-US"/>
        </w:rPr>
        <w:t xml:space="preserve"> short-term program that emphasizes diagnosis and treatment of problems that participants bring to the session. Experts available at the clinic, rather than participants themselves, have primary responsibility for diagnosing problems and prescribing treatment.</w:t>
      </w:r>
    </w:p>
    <w:p w14:paraId="4664B467" w14:textId="77777777" w:rsidR="00265DA5" w:rsidRDefault="00A86A38">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80" w:after="160" w:line="268" w:lineRule="auto"/>
        <w:rPr>
          <w:b/>
          <w:color w:val="003D68"/>
          <w:sz w:val="29"/>
          <w:szCs w:val="29"/>
        </w:rPr>
      </w:pPr>
      <w:bookmarkStart w:id="8" w:name="_heading=h.u4u262tetp1l" w:colFirst="0" w:colLast="0"/>
      <w:bookmarkEnd w:id="8"/>
      <w:r>
        <w:rPr>
          <w:b/>
          <w:color w:val="003D68"/>
          <w:sz w:val="29"/>
          <w:szCs w:val="29"/>
        </w:rPr>
        <w:lastRenderedPageBreak/>
        <w:t>Asynchronous Formats</w:t>
      </w:r>
    </w:p>
    <w:p w14:paraId="4664B468" w14:textId="77777777" w:rsidR="00265DA5" w:rsidRDefault="00A86A38">
      <w:r>
        <w:rPr>
          <w:b/>
        </w:rPr>
        <w:t>Recorded Webcasts</w:t>
      </w:r>
      <w:r>
        <w:t xml:space="preserve"> </w:t>
      </w:r>
      <w:r>
        <w:rPr>
          <w:b/>
        </w:rPr>
        <w:t>(RW):</w:t>
      </w:r>
      <w:r>
        <w:t xml:space="preserve"> Pre-recorded lectures that can be viewed on demand.</w:t>
      </w:r>
    </w:p>
    <w:p w14:paraId="4664B469" w14:textId="77777777" w:rsidR="00265DA5" w:rsidRDefault="00265DA5"/>
    <w:p w14:paraId="4664B46A" w14:textId="77777777" w:rsidR="00265DA5" w:rsidRDefault="00A86A38">
      <w:r>
        <w:rPr>
          <w:b/>
        </w:rPr>
        <w:t>On-Demand Courses (OC):</w:t>
      </w:r>
      <w:r>
        <w:t xml:space="preserve"> A self-paced online course that can be taken at any time. On-demand courses may come with accompanying materials, such as slides, PDFs, and quizzes.</w:t>
      </w:r>
    </w:p>
    <w:p w14:paraId="4664B46B" w14:textId="77777777" w:rsidR="00265DA5" w:rsidRDefault="00265DA5"/>
    <w:p w14:paraId="4664B46C"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b/>
          <w:color w:val="222222"/>
          <w:sz w:val="24"/>
          <w:szCs w:val="24"/>
        </w:rPr>
      </w:pPr>
      <w:r>
        <w:rPr>
          <w:b/>
          <w:color w:val="222222"/>
          <w:sz w:val="24"/>
          <w:szCs w:val="24"/>
        </w:rPr>
        <w:t>Advantages of Each Format</w:t>
      </w:r>
    </w:p>
    <w:p w14:paraId="4664B46D"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line="384" w:lineRule="auto"/>
      </w:pPr>
      <w:r>
        <w:rPr>
          <w:color w:val="222222"/>
          <w:sz w:val="24"/>
          <w:szCs w:val="24"/>
        </w:rPr>
        <w:t>Flexibility in options for duration and whether to host in-person or online (Co; S)</w:t>
      </w:r>
    </w:p>
    <w:p w14:paraId="4664B46E"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Flexible for learners to attend at a time of their choosing (RW; OC)</w:t>
      </w:r>
    </w:p>
    <w:p w14:paraId="4664B46F"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Many people can attend. (Co; RW; OC)</w:t>
      </w:r>
    </w:p>
    <w:p w14:paraId="4664B470"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Immediate application of results of problem-solving efforts. (S; W; Cl)</w:t>
      </w:r>
    </w:p>
    <w:p w14:paraId="4664B471"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People interact in novel ways. (Co; I)</w:t>
      </w:r>
    </w:p>
    <w:p w14:paraId="4664B472"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Students can engage with fellow learners (Co; S; I)</w:t>
      </w:r>
    </w:p>
    <w:p w14:paraId="4664B473"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Isolation from distractions of day-to-day concerns. (Co; I; S)</w:t>
      </w:r>
    </w:p>
    <w:p w14:paraId="4664B474" w14:textId="77777777" w:rsidR="00265DA5" w:rsidRDefault="00A86A38" w:rsidP="5D507C5D">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pPr>
      <w:r w:rsidRPr="5D507C5D">
        <w:rPr>
          <w:color w:val="222222"/>
          <w:sz w:val="24"/>
          <w:szCs w:val="24"/>
          <w:lang w:val="en-US"/>
        </w:rPr>
        <w:t>Problem-solving skills refined. (W; Cl)</w:t>
      </w:r>
    </w:p>
    <w:p w14:paraId="4664B475"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Low cost (RW; OC)</w:t>
      </w:r>
    </w:p>
    <w:p w14:paraId="4664B476"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Instructors can repurpose already-created content (</w:t>
      </w:r>
      <w:proofErr w:type="gramStart"/>
      <w:r>
        <w:rPr>
          <w:color w:val="222222"/>
          <w:sz w:val="24"/>
          <w:szCs w:val="24"/>
        </w:rPr>
        <w:t>RW;</w:t>
      </w:r>
      <w:proofErr w:type="gramEnd"/>
      <w:r>
        <w:rPr>
          <w:color w:val="222222"/>
          <w:sz w:val="24"/>
          <w:szCs w:val="24"/>
        </w:rPr>
        <w:t xml:space="preserve"> OC)</w:t>
      </w:r>
    </w:p>
    <w:p w14:paraId="4664B477" w14:textId="77777777" w:rsidR="00265DA5" w:rsidRDefault="00A86A38">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384" w:lineRule="auto"/>
        <w:rPr>
          <w:color w:val="222222"/>
          <w:sz w:val="24"/>
          <w:szCs w:val="24"/>
        </w:rPr>
      </w:pPr>
      <w:r>
        <w:rPr>
          <w:color w:val="222222"/>
          <w:sz w:val="24"/>
          <w:szCs w:val="24"/>
        </w:rPr>
        <w:t>Accessible to a wide audience regardless of geographic location (all online courses; RW; OC)</w:t>
      </w:r>
    </w:p>
    <w:p w14:paraId="4664B478"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b/>
          <w:color w:val="222222"/>
          <w:sz w:val="24"/>
          <w:szCs w:val="24"/>
        </w:rPr>
      </w:pPr>
      <w:r>
        <w:rPr>
          <w:b/>
          <w:color w:val="222222"/>
          <w:sz w:val="24"/>
          <w:szCs w:val="24"/>
        </w:rPr>
        <w:t>Limitations of Each Format</w:t>
      </w:r>
    </w:p>
    <w:p w14:paraId="4664B479" w14:textId="77777777" w:rsidR="00265DA5" w:rsidRDefault="00A86A38">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line="384" w:lineRule="auto"/>
      </w:pPr>
      <w:r>
        <w:rPr>
          <w:color w:val="222222"/>
          <w:sz w:val="24"/>
          <w:szCs w:val="24"/>
        </w:rPr>
        <w:t>Fatigue and information overload are always possible. (Co; S; I)</w:t>
      </w:r>
    </w:p>
    <w:p w14:paraId="4664B47A" w14:textId="77777777" w:rsidR="00265DA5" w:rsidRDefault="00A86A38" w:rsidP="5D507C5D">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rPr>
          <w:color w:val="222222"/>
          <w:sz w:val="24"/>
          <w:szCs w:val="24"/>
          <w:lang w:val="en-US"/>
        </w:rPr>
      </w:pPr>
      <w:r w:rsidRPr="5D507C5D">
        <w:rPr>
          <w:color w:val="222222"/>
          <w:sz w:val="24"/>
          <w:szCs w:val="24"/>
          <w:lang w:val="en-US"/>
        </w:rPr>
        <w:t>Little or no opportunity to provide individualized attention for learners. (Co; RW; OC)</w:t>
      </w:r>
    </w:p>
    <w:p w14:paraId="4664B47B" w14:textId="77777777" w:rsidR="00265DA5" w:rsidRDefault="00A86A38" w:rsidP="5D507C5D">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pPr>
      <w:r w:rsidRPr="5D507C5D">
        <w:rPr>
          <w:color w:val="222222"/>
          <w:sz w:val="24"/>
          <w:szCs w:val="24"/>
          <w:lang w:val="en-US"/>
        </w:rPr>
        <w:t>Teacher burnout. (Co)</w:t>
      </w:r>
    </w:p>
    <w:p w14:paraId="4664B47C" w14:textId="77777777" w:rsidR="00265DA5" w:rsidRDefault="00A86A38">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Little flexibility to deviate from a schedule; instructor/s may run out of time. (Co; W)</w:t>
      </w:r>
    </w:p>
    <w:p w14:paraId="4664B47D" w14:textId="77777777" w:rsidR="00265DA5" w:rsidRDefault="00A86A38">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Engagement with hands-on activities may be limited. (Co; RW; OC)</w:t>
      </w:r>
    </w:p>
    <w:p w14:paraId="4664B47E" w14:textId="77777777" w:rsidR="00265DA5" w:rsidRDefault="00A86A38" w:rsidP="5D507C5D">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240" w:line="384" w:lineRule="auto"/>
      </w:pPr>
      <w:r w:rsidRPr="5D507C5D">
        <w:rPr>
          <w:color w:val="222222"/>
          <w:sz w:val="24"/>
          <w:szCs w:val="24"/>
          <w:lang w:val="en-US"/>
        </w:rPr>
        <w:t>Costs can be higher, especially if travel is required (Co; I)</w:t>
      </w:r>
    </w:p>
    <w:p w14:paraId="4664B47F"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b/>
          <w:color w:val="222222"/>
          <w:sz w:val="24"/>
          <w:szCs w:val="24"/>
        </w:rPr>
      </w:pPr>
      <w:r>
        <w:rPr>
          <w:b/>
          <w:color w:val="222222"/>
          <w:sz w:val="24"/>
          <w:szCs w:val="24"/>
        </w:rPr>
        <w:lastRenderedPageBreak/>
        <w:t xml:space="preserve">Criteria for Selecting a Format </w:t>
      </w:r>
    </w:p>
    <w:p w14:paraId="4664B480"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 xml:space="preserve">There are </w:t>
      </w:r>
      <w:proofErr w:type="gramStart"/>
      <w:r w:rsidRPr="5D507C5D">
        <w:rPr>
          <w:color w:val="222222"/>
          <w:sz w:val="24"/>
          <w:szCs w:val="24"/>
          <w:lang w:val="en-US"/>
        </w:rPr>
        <w:t>a number of</w:t>
      </w:r>
      <w:proofErr w:type="gramEnd"/>
      <w:r w:rsidRPr="5D507C5D">
        <w:rPr>
          <w:color w:val="222222"/>
          <w:sz w:val="24"/>
          <w:szCs w:val="24"/>
          <w:lang w:val="en-US"/>
        </w:rPr>
        <w:t xml:space="preserve"> factors that may help an instructor determine their format for continuing education, and whether it will be online or in-person. A course can be flexible in length, take place in a single day or over multiple days, and can include both lecture portions and hands-on activities. A course may be appropriate for an introduction to a topic or for teaching more advanced concepts. Seminars are better for more experienced learners focusing on advanced concepts in a </w:t>
      </w:r>
      <w:proofErr w:type="gramStart"/>
      <w:r w:rsidRPr="5D507C5D">
        <w:rPr>
          <w:color w:val="222222"/>
          <w:sz w:val="24"/>
          <w:szCs w:val="24"/>
          <w:lang w:val="en-US"/>
        </w:rPr>
        <w:t>topic, and</w:t>
      </w:r>
      <w:proofErr w:type="gramEnd"/>
      <w:r w:rsidRPr="5D507C5D">
        <w:rPr>
          <w:color w:val="222222"/>
          <w:sz w:val="24"/>
          <w:szCs w:val="24"/>
          <w:lang w:val="en-US"/>
        </w:rPr>
        <w:t xml:space="preserve"> may include more discussions and </w:t>
      </w:r>
      <w:proofErr w:type="gramStart"/>
      <w:r w:rsidRPr="5D507C5D">
        <w:rPr>
          <w:color w:val="222222"/>
          <w:sz w:val="24"/>
          <w:szCs w:val="24"/>
          <w:lang w:val="en-US"/>
        </w:rPr>
        <w:t>readings</w:t>
      </w:r>
      <w:proofErr w:type="gramEnd"/>
      <w:r w:rsidRPr="5D507C5D">
        <w:rPr>
          <w:color w:val="222222"/>
          <w:sz w:val="24"/>
          <w:szCs w:val="24"/>
          <w:lang w:val="en-US"/>
        </w:rPr>
        <w:t xml:space="preserve">. An institute can be a great way to teach in-depth knowledge on a topic and create a cohort of learners. Institutes are often intensive and in-person, making them ideal for a summer program. Workshops can be a great option if an instructor wants to teach about a tool or </w:t>
      </w:r>
      <w:proofErr w:type="gramStart"/>
      <w:r w:rsidRPr="5D507C5D">
        <w:rPr>
          <w:color w:val="222222"/>
          <w:sz w:val="24"/>
          <w:szCs w:val="24"/>
          <w:lang w:val="en-US"/>
        </w:rPr>
        <w:t>concept, and</w:t>
      </w:r>
      <w:proofErr w:type="gramEnd"/>
      <w:r w:rsidRPr="5D507C5D">
        <w:rPr>
          <w:color w:val="222222"/>
          <w:sz w:val="24"/>
          <w:szCs w:val="24"/>
          <w:lang w:val="en-US"/>
        </w:rPr>
        <w:t xml:space="preserve"> include lots of hands-on activities. Clinics can help learners troubleshoot issues that they are experiencing in their own work. </w:t>
      </w:r>
    </w:p>
    <w:p w14:paraId="4664B481"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b/>
          <w:bCs/>
          <w:color w:val="003D68"/>
          <w:sz w:val="29"/>
          <w:szCs w:val="29"/>
          <w:lang w:val="en-US"/>
        </w:rPr>
      </w:pPr>
      <w:r w:rsidRPr="5D507C5D">
        <w:rPr>
          <w:color w:val="222222"/>
          <w:sz w:val="24"/>
          <w:szCs w:val="24"/>
          <w:lang w:val="en-US"/>
        </w:rPr>
        <w:t>Asynchronous options, including recorded webinars and on-demand courses, can reach a wide audience and provide learners with the flexibility of participating in any location, on their own schedule. They can also be a way for instructors to repurpose content that they have already created. A disadvantage is that there is often no opportunity to ask the instructor questions or engage with other learners.</w:t>
      </w:r>
    </w:p>
    <w:p w14:paraId="4664B482" w14:textId="77777777" w:rsidR="00265DA5" w:rsidRDefault="00A86A38">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80" w:after="160" w:line="268" w:lineRule="auto"/>
        <w:rPr>
          <w:b/>
          <w:color w:val="003D68"/>
          <w:sz w:val="29"/>
          <w:szCs w:val="29"/>
        </w:rPr>
      </w:pPr>
      <w:bookmarkStart w:id="9" w:name="_heading=h.dcc99mi45kw5" w:colFirst="0" w:colLast="0"/>
      <w:bookmarkEnd w:id="9"/>
      <w:r>
        <w:rPr>
          <w:b/>
          <w:color w:val="003D68"/>
          <w:sz w:val="29"/>
          <w:szCs w:val="29"/>
        </w:rPr>
        <w:t>Online Learning Formats</w:t>
      </w:r>
    </w:p>
    <w:p w14:paraId="4664B483"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 xml:space="preserve">Online learning is now commonplace, and many types of instruction can be adapted to an online format. Online learning takes place on a computer or mobile device such as a tablet or smartphone and may employ various technologies, including video conferencing software and course management systems, to facilitate learning. Online learning formats include live (synchronous) and asynchronous instruction. Both live and asynchronous instruction offer greater flexibility to participants, allowing them to attend from a location of their choosing. Online learning may include activities to help learners stay engaged, including breaking out into smaller groups to work on an activity with </w:t>
      </w:r>
      <w:r w:rsidRPr="5D507C5D">
        <w:rPr>
          <w:color w:val="222222"/>
          <w:sz w:val="24"/>
          <w:szCs w:val="24"/>
          <w:lang w:val="en-US"/>
        </w:rPr>
        <w:lastRenderedPageBreak/>
        <w:t xml:space="preserve">other participants, quizzes and polls, and frequent question and answer sessions. One disadvantage to online learning is that learners do not have the same “in-person” experience where they are able to interact face-to-face with instructors and fellow participants. Topics that include viewing and handling physical materials, or that require one-on-one feedback between instructors and participants, may be better suited for in-person formats. </w:t>
      </w:r>
    </w:p>
    <w:p w14:paraId="4664B484"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br w:type="page"/>
      </w:r>
    </w:p>
    <w:p w14:paraId="4664B485" w14:textId="77777777" w:rsidR="00265DA5" w:rsidRDefault="00A86A38">
      <w:pPr>
        <w:pStyle w:val="Heading1"/>
        <w:keepNext w:val="0"/>
        <w:keepLines w:val="0"/>
        <w:pBdr>
          <w:top w:val="none" w:sz="0" w:space="0" w:color="000000"/>
          <w:left w:val="none" w:sz="0" w:space="0" w:color="000000"/>
          <w:bottom w:val="single" w:sz="10" w:space="3" w:color="335F85"/>
          <w:right w:val="none" w:sz="0" w:space="0" w:color="000000"/>
          <w:between w:val="none" w:sz="0" w:space="0" w:color="000000"/>
        </w:pBdr>
        <w:shd w:val="clear" w:color="auto" w:fill="FFFFFF"/>
        <w:spacing w:before="0" w:after="160" w:line="270" w:lineRule="auto"/>
        <w:rPr>
          <w:b/>
          <w:color w:val="335F85"/>
          <w:sz w:val="43"/>
          <w:szCs w:val="43"/>
        </w:rPr>
      </w:pPr>
      <w:bookmarkStart w:id="10" w:name="_heading=h.oiixq1niykii" w:colFirst="0" w:colLast="0"/>
      <w:bookmarkEnd w:id="10"/>
      <w:r>
        <w:rPr>
          <w:b/>
          <w:color w:val="335F85"/>
          <w:sz w:val="43"/>
          <w:szCs w:val="43"/>
        </w:rPr>
        <w:lastRenderedPageBreak/>
        <w:t>Appendix 4: Guidelines for Evaluating Continuing Education Programs</w:t>
      </w:r>
    </w:p>
    <w:p w14:paraId="4664B486"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 xml:space="preserve">Feedback from participants, peers, reviewers, and instructors is essential to assess the quality and relevance of individual courses and programs of continuing education courses. </w:t>
      </w:r>
    </w:p>
    <w:p w14:paraId="4664B487"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 xml:space="preserve">Use the course evaluation forms that follow or construct your own to assist in collecting feedback from students after they take a course. Lengthy evaluation forms typically defeat the purpose as participants are eager to leave – one sheet of paper with questions on both sides appears to yield the greatest results for face-to-face instruction. In an online learning format, an online survey or form can be emailed to participants during or immediately following a webcast or live training with a deadline for submitting responses. Include succinct questions and request answers based on a scale of one to five as well as open-ended questions encouraging more detailed responses. For online </w:t>
      </w:r>
      <w:proofErr w:type="gramStart"/>
      <w:r w:rsidRPr="5D507C5D">
        <w:rPr>
          <w:color w:val="222222"/>
          <w:sz w:val="24"/>
          <w:szCs w:val="24"/>
          <w:lang w:val="en-US"/>
        </w:rPr>
        <w:t>instruction in particular, consider</w:t>
      </w:r>
      <w:proofErr w:type="gramEnd"/>
      <w:r w:rsidRPr="5D507C5D">
        <w:rPr>
          <w:color w:val="222222"/>
          <w:sz w:val="24"/>
          <w:szCs w:val="24"/>
          <w:lang w:val="en-US"/>
        </w:rPr>
        <w:t xml:space="preserve"> sending multiple reminders asking students to take the course evaluation survey, both immediately after the course concludes </w:t>
      </w:r>
      <w:proofErr w:type="gramStart"/>
      <w:r w:rsidRPr="5D507C5D">
        <w:rPr>
          <w:color w:val="222222"/>
          <w:sz w:val="24"/>
          <w:szCs w:val="24"/>
          <w:lang w:val="en-US"/>
        </w:rPr>
        <w:t>and in the days</w:t>
      </w:r>
      <w:proofErr w:type="gramEnd"/>
      <w:r w:rsidRPr="5D507C5D">
        <w:rPr>
          <w:color w:val="222222"/>
          <w:sz w:val="24"/>
          <w:szCs w:val="24"/>
          <w:lang w:val="en-US"/>
        </w:rPr>
        <w:t xml:space="preserve"> following. </w:t>
      </w:r>
    </w:p>
    <w:p w14:paraId="4664B488"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Ask participants about the complete education experience, including:</w:t>
      </w:r>
    </w:p>
    <w:p w14:paraId="4664B489"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line="384" w:lineRule="auto"/>
      </w:pPr>
      <w:r>
        <w:rPr>
          <w:color w:val="222222"/>
          <w:sz w:val="24"/>
          <w:szCs w:val="24"/>
        </w:rPr>
        <w:t>Communication skills of presenter</w:t>
      </w:r>
    </w:p>
    <w:p w14:paraId="4664B48A"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Organization of the course</w:t>
      </w:r>
    </w:p>
    <w:p w14:paraId="4664B48B"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How well did the course meet the stated learning outcomes</w:t>
      </w:r>
    </w:p>
    <w:p w14:paraId="4664B48C"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Clarity of course content</w:t>
      </w:r>
    </w:p>
    <w:p w14:paraId="4664B48D"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Student’s confidence level in topic after completing course</w:t>
      </w:r>
    </w:p>
    <w:p w14:paraId="4664B48E"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Relevance of training</w:t>
      </w:r>
    </w:p>
    <w:p w14:paraId="4664B48F"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How difficult the course was</w:t>
      </w:r>
    </w:p>
    <w:p w14:paraId="4664B490"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 xml:space="preserve">How </w:t>
      </w:r>
      <w:proofErr w:type="gramStart"/>
      <w:r>
        <w:rPr>
          <w:color w:val="222222"/>
          <w:sz w:val="24"/>
          <w:szCs w:val="24"/>
        </w:rPr>
        <w:t>well</w:t>
      </w:r>
      <w:proofErr w:type="gramEnd"/>
      <w:r>
        <w:rPr>
          <w:color w:val="222222"/>
          <w:sz w:val="24"/>
          <w:szCs w:val="24"/>
        </w:rPr>
        <w:t xml:space="preserve"> the course fit the advertised description</w:t>
      </w:r>
    </w:p>
    <w:p w14:paraId="4664B491"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Supplemental materials, including any pre-course assignments</w:t>
      </w:r>
    </w:p>
    <w:p w14:paraId="4664B492"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lastRenderedPageBreak/>
        <w:t>What was missing</w:t>
      </w:r>
    </w:p>
    <w:p w14:paraId="4664B493" w14:textId="77777777" w:rsidR="00265DA5" w:rsidRDefault="00A86A38">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384" w:lineRule="auto"/>
        <w:rPr>
          <w:color w:val="222222"/>
          <w:sz w:val="24"/>
          <w:szCs w:val="24"/>
        </w:rPr>
      </w:pPr>
      <w:r>
        <w:rPr>
          <w:color w:val="222222"/>
          <w:sz w:val="24"/>
          <w:szCs w:val="24"/>
        </w:rPr>
        <w:t xml:space="preserve">Accessibility (both online and in-person). For example, were there any technological barriers to </w:t>
      </w:r>
      <w:proofErr w:type="gramStart"/>
      <w:r>
        <w:rPr>
          <w:color w:val="222222"/>
          <w:sz w:val="24"/>
          <w:szCs w:val="24"/>
        </w:rPr>
        <w:t>participation</w:t>
      </w:r>
      <w:proofErr w:type="gramEnd"/>
      <w:r>
        <w:rPr>
          <w:color w:val="222222"/>
          <w:sz w:val="24"/>
          <w:szCs w:val="24"/>
        </w:rPr>
        <w:t xml:space="preserve"> online, or physical barriers while attending in-person?</w:t>
      </w:r>
    </w:p>
    <w:p w14:paraId="4664B494"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 xml:space="preserve">Evaluations allow instructors and education providers to identify areas for improvement in course content, presentation, and materials. Both instructors and education providers should review course evaluation feedback </w:t>
      </w:r>
      <w:proofErr w:type="gramStart"/>
      <w:r w:rsidRPr="5D507C5D">
        <w:rPr>
          <w:color w:val="222222"/>
          <w:sz w:val="24"/>
          <w:szCs w:val="24"/>
          <w:lang w:val="en-US"/>
        </w:rPr>
        <w:t>carefully, and</w:t>
      </w:r>
      <w:proofErr w:type="gramEnd"/>
      <w:r w:rsidRPr="5D507C5D">
        <w:rPr>
          <w:color w:val="222222"/>
          <w:sz w:val="24"/>
          <w:szCs w:val="24"/>
          <w:lang w:val="en-US"/>
        </w:rPr>
        <w:t xml:space="preserve"> incorporate feedback from evaluations into the design of the course. Pay particular attention to negative comments, even if there are few. Assess their legitimacy and attempt to address the concerns they raise even while keeping positive comments in mind.</w:t>
      </w:r>
    </w:p>
    <w:p w14:paraId="4664B495"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 xml:space="preserve">Course assessment and evaluation </w:t>
      </w:r>
      <w:proofErr w:type="gramStart"/>
      <w:r w:rsidRPr="5D507C5D">
        <w:rPr>
          <w:color w:val="222222"/>
          <w:sz w:val="24"/>
          <w:szCs w:val="24"/>
          <w:lang w:val="en-US"/>
        </w:rPr>
        <w:t>does</w:t>
      </w:r>
      <w:proofErr w:type="gramEnd"/>
      <w:r w:rsidRPr="5D507C5D">
        <w:rPr>
          <w:color w:val="222222"/>
          <w:sz w:val="24"/>
          <w:szCs w:val="24"/>
          <w:lang w:val="en-US"/>
        </w:rPr>
        <w:t xml:space="preserve"> not have to be limited to a survey immediately following the course. Consider other ways in which the effectiveness of a course can be measured as well, such as using course auditors who can provide feedback on instruction and materials, or incorporating course feedback throughout, particularly for longer courses. This could include short quizzes or asking students for feedback on what they have learned at the end of content sections.</w:t>
      </w:r>
    </w:p>
    <w:p w14:paraId="4664B496"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br w:type="page"/>
      </w:r>
    </w:p>
    <w:p w14:paraId="4664B497" w14:textId="77777777" w:rsidR="00265DA5" w:rsidRDefault="00A86A38">
      <w:pPr>
        <w:pStyle w:val="Heading1"/>
        <w:keepNext w:val="0"/>
        <w:keepLines w:val="0"/>
        <w:pBdr>
          <w:top w:val="none" w:sz="0" w:space="0" w:color="000000"/>
          <w:left w:val="none" w:sz="0" w:space="0" w:color="000000"/>
          <w:bottom w:val="single" w:sz="10" w:space="3" w:color="335F85"/>
          <w:right w:val="none" w:sz="0" w:space="0" w:color="000000"/>
          <w:between w:val="none" w:sz="0" w:space="0" w:color="000000"/>
        </w:pBdr>
        <w:shd w:val="clear" w:color="auto" w:fill="FFFFFF"/>
        <w:spacing w:before="0" w:after="160" w:line="270" w:lineRule="auto"/>
        <w:rPr>
          <w:b/>
          <w:color w:val="335F85"/>
          <w:sz w:val="43"/>
          <w:szCs w:val="43"/>
        </w:rPr>
      </w:pPr>
      <w:bookmarkStart w:id="11" w:name="_heading=h.8iadapgr4d9n" w:colFirst="0" w:colLast="0"/>
      <w:bookmarkEnd w:id="11"/>
      <w:r>
        <w:rPr>
          <w:b/>
          <w:color w:val="335F85"/>
          <w:sz w:val="43"/>
          <w:szCs w:val="43"/>
        </w:rPr>
        <w:lastRenderedPageBreak/>
        <w:t>Appendix 5: Guidelines for an Ideal Course and Curriculum Development</w:t>
      </w:r>
    </w:p>
    <w:p w14:paraId="4664B498" w14:textId="77777777" w:rsidR="00265DA5" w:rsidRDefault="00A86A38" w:rsidP="5D507C5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300" w:line="384" w:lineRule="auto"/>
        <w:rPr>
          <w:color w:val="222222"/>
          <w:sz w:val="24"/>
          <w:szCs w:val="24"/>
          <w:lang w:val="en-US"/>
        </w:rPr>
      </w:pPr>
      <w:r w:rsidRPr="5D507C5D">
        <w:rPr>
          <w:color w:val="222222"/>
          <w:sz w:val="24"/>
          <w:szCs w:val="24"/>
          <w:lang w:val="en-US"/>
        </w:rPr>
        <w:t>As an archival continuing education provider, you have identified an educational need, perhaps through research and feedback from others, or through review of existing courses. A good first step for a prospective course instructor is to contact the provider and determine that your course idea is a good fit for the provider, in terms of content, delivery format, audience, and development timeline.</w:t>
      </w:r>
    </w:p>
    <w:p w14:paraId="4664B499" w14:textId="77777777" w:rsidR="00265DA5" w:rsidRDefault="00A86A3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r>
        <w:rPr>
          <w:color w:val="222222"/>
          <w:sz w:val="24"/>
          <w:szCs w:val="24"/>
        </w:rPr>
        <w:t>Consider addressing the following for your course, either in the course description or a more detailed syllabus:</w:t>
      </w:r>
    </w:p>
    <w:p w14:paraId="4664B49A" w14:textId="77777777" w:rsidR="00265DA5" w:rsidRDefault="00A86A38" w:rsidP="5D507C5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40" w:line="384" w:lineRule="auto"/>
      </w:pPr>
      <w:r w:rsidRPr="5D507C5D">
        <w:rPr>
          <w:color w:val="222222"/>
          <w:sz w:val="24"/>
          <w:szCs w:val="24"/>
          <w:lang w:val="en-US"/>
        </w:rPr>
        <w:t>Goals. What do you intend to accomplish? Create an overview. Each goal/purpose should be stated relative to the rationale behind the content.</w:t>
      </w:r>
    </w:p>
    <w:p w14:paraId="4664B49B" w14:textId="77777777" w:rsidR="00265DA5" w:rsidRDefault="00A86A38" w:rsidP="5D507C5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pPr>
      <w:r w:rsidRPr="5D507C5D">
        <w:rPr>
          <w:color w:val="222222"/>
          <w:sz w:val="24"/>
          <w:szCs w:val="24"/>
          <w:lang w:val="en-US"/>
        </w:rPr>
        <w:t>Learning objectives. Use verbs that convey measurable behavioral objectives (e.g., registrants will be able to define [knowledge], classify [comprehension], calculate [application], appraise [analysis], assemble [synthesis], or determine [evaluation]). Each learning objective may be broken into subcategories that detail what will be discussed and what activities will take place.</w:t>
      </w:r>
    </w:p>
    <w:p w14:paraId="4664B49C" w14:textId="77777777" w:rsidR="00265DA5" w:rsidRDefault="00A86A38" w:rsidP="5D507C5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pPr>
      <w:r w:rsidRPr="5D507C5D">
        <w:rPr>
          <w:color w:val="222222"/>
          <w:sz w:val="24"/>
          <w:szCs w:val="24"/>
          <w:lang w:val="en-US"/>
        </w:rPr>
        <w:t>Outcomes. These should clearly identify how learning can be applied in the workplace.</w:t>
      </w:r>
    </w:p>
    <w:p w14:paraId="4664B49D" w14:textId="77777777" w:rsidR="00265DA5" w:rsidRDefault="00A86A38">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Intended level of experience of audience (introductory, intermediate, advanced, etc.).</w:t>
      </w:r>
    </w:p>
    <w:p w14:paraId="4664B49E" w14:textId="77777777" w:rsidR="00265DA5" w:rsidRDefault="00A86A38">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Required or recommended prerequisite knowledge, skills, or other courses taken.</w:t>
      </w:r>
    </w:p>
    <w:p w14:paraId="4664B49F" w14:textId="77777777" w:rsidR="00265DA5" w:rsidRDefault="00A86A38">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Schedule/outline.</w:t>
      </w:r>
    </w:p>
    <w:p w14:paraId="4664B4A0" w14:textId="77777777" w:rsidR="00265DA5" w:rsidRDefault="00A86A38" w:rsidP="5D507C5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pPr>
      <w:r w:rsidRPr="5D507C5D">
        <w:rPr>
          <w:color w:val="222222"/>
          <w:sz w:val="24"/>
          <w:szCs w:val="24"/>
          <w:lang w:val="en-US"/>
        </w:rPr>
        <w:t>Which techniques – teacher-centered (such as lectures) or student-centered (such as Think-Pair-Share or other group activities) – do you intend to use for each component?</w:t>
      </w:r>
    </w:p>
    <w:p w14:paraId="4664B4A1" w14:textId="77777777" w:rsidR="00265DA5" w:rsidRDefault="00A86A38">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rPr>
          <w:color w:val="222222"/>
          <w:sz w:val="24"/>
          <w:szCs w:val="24"/>
        </w:rPr>
      </w:pPr>
      <w:r>
        <w:rPr>
          <w:color w:val="222222"/>
          <w:sz w:val="24"/>
          <w:szCs w:val="24"/>
        </w:rPr>
        <w:t>For courses longer than an hour, consider using a mix of techniques to keep students engaged.</w:t>
      </w:r>
    </w:p>
    <w:p w14:paraId="4664B4A2" w14:textId="77777777" w:rsidR="00265DA5" w:rsidRDefault="00A86A38">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lastRenderedPageBreak/>
        <w:t xml:space="preserve">Describe the exercises and case studies that you plan to incorporate. </w:t>
      </w:r>
    </w:p>
    <w:p w14:paraId="4664B4A3" w14:textId="77777777" w:rsidR="00265DA5" w:rsidRDefault="00A86A38" w:rsidP="5D507C5D">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line="384" w:lineRule="auto"/>
        <w:rPr>
          <w:color w:val="222222"/>
          <w:sz w:val="24"/>
          <w:szCs w:val="24"/>
          <w:lang w:val="en-US"/>
        </w:rPr>
      </w:pPr>
      <w:r w:rsidRPr="5D507C5D">
        <w:rPr>
          <w:color w:val="222222"/>
          <w:sz w:val="24"/>
          <w:szCs w:val="24"/>
          <w:lang w:val="en-US"/>
        </w:rPr>
        <w:t>When appropriate, do include practical activities that apply directly to real-world experiences. Examples include activities on appraising or describing archival materials, editing Wikipedia/Wikidata records, reviewing criteria for a grant application, curating digital records, etc.</w:t>
      </w:r>
    </w:p>
    <w:p w14:paraId="4664B4A4" w14:textId="77777777" w:rsidR="00265DA5" w:rsidRDefault="00A86A38">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For case studies, it is best to use cases based on personal experience wherever possible. Personal experience is much more compelling in an instructional situation than are generic examples, and instructors are strongly encouraged to bring their own case studies to the classroom.</w:t>
      </w:r>
    </w:p>
    <w:p w14:paraId="4664B4A5" w14:textId="77777777" w:rsidR="00265DA5" w:rsidRDefault="00A86A38">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Assigned pre-course readings.</w:t>
      </w:r>
    </w:p>
    <w:p w14:paraId="4664B4A6" w14:textId="77777777" w:rsidR="00265DA5" w:rsidRDefault="00A86A38">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pPr>
      <w:r>
        <w:rPr>
          <w:color w:val="222222"/>
          <w:sz w:val="24"/>
          <w:szCs w:val="24"/>
        </w:rPr>
        <w:t>Technology requirements, including any software needed for the course.</w:t>
      </w:r>
    </w:p>
    <w:p w14:paraId="4664B4A7" w14:textId="77777777" w:rsidR="00265DA5" w:rsidRDefault="00A86A38">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384" w:lineRule="auto"/>
      </w:pPr>
      <w:r>
        <w:rPr>
          <w:color w:val="222222"/>
          <w:sz w:val="24"/>
          <w:szCs w:val="24"/>
        </w:rPr>
        <w:t>Delivery format.</w:t>
      </w:r>
    </w:p>
    <w:p w14:paraId="4664B4A8" w14:textId="77777777" w:rsidR="00265DA5" w:rsidRDefault="00265DA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384" w:lineRule="auto"/>
        <w:rPr>
          <w:color w:val="222222"/>
          <w:sz w:val="24"/>
          <w:szCs w:val="24"/>
        </w:rPr>
      </w:pPr>
    </w:p>
    <w:p w14:paraId="4664B4A9" w14:textId="77777777" w:rsidR="00265DA5" w:rsidRDefault="00265DA5"/>
    <w:sectPr w:rsidR="00265DA5">
      <w:headerReference w:type="default" r:id="rId51"/>
      <w:footerReference w:type="default" r:id="rId5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A813" w14:textId="77777777" w:rsidR="0087587E" w:rsidRDefault="0087587E" w:rsidP="0087587E">
      <w:pPr>
        <w:spacing w:line="240" w:lineRule="auto"/>
      </w:pPr>
      <w:r>
        <w:separator/>
      </w:r>
    </w:p>
  </w:endnote>
  <w:endnote w:type="continuationSeparator" w:id="0">
    <w:p w14:paraId="609FD084" w14:textId="77777777" w:rsidR="0087587E" w:rsidRDefault="0087587E" w:rsidP="00875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016289"/>
      <w:docPartObj>
        <w:docPartGallery w:val="Page Numbers (Bottom of Page)"/>
        <w:docPartUnique/>
      </w:docPartObj>
    </w:sdtPr>
    <w:sdtEndPr>
      <w:rPr>
        <w:noProof/>
      </w:rPr>
    </w:sdtEndPr>
    <w:sdtContent>
      <w:p w14:paraId="578E2AC1" w14:textId="1117B1CE" w:rsidR="00622158" w:rsidRDefault="00D3598E" w:rsidP="00622158">
        <w:pPr>
          <w:pStyle w:val="Footer"/>
        </w:pPr>
        <w:r>
          <w:t xml:space="preserve">Council Meeting November 2025                    </w:t>
        </w:r>
        <w:r w:rsidR="00622158">
          <w:fldChar w:fldCharType="begin"/>
        </w:r>
        <w:r w:rsidR="00622158">
          <w:instrText xml:space="preserve"> PAGE   \* MERGEFORMAT </w:instrText>
        </w:r>
        <w:r w:rsidR="00622158">
          <w:fldChar w:fldCharType="separate"/>
        </w:r>
        <w:r w:rsidR="00622158">
          <w:rPr>
            <w:noProof/>
          </w:rPr>
          <w:t>2</w:t>
        </w:r>
        <w:r w:rsidR="00622158">
          <w:rPr>
            <w:noProof/>
          </w:rPr>
          <w:fldChar w:fldCharType="end"/>
        </w:r>
        <w:r>
          <w:rPr>
            <w:noProof/>
          </w:rPr>
          <w:t xml:space="preserve">                             1125-VI-A-2-Standards Doc 2</w:t>
        </w:r>
      </w:p>
    </w:sdtContent>
  </w:sdt>
  <w:p w14:paraId="592AF3EB" w14:textId="77777777" w:rsidR="00622158" w:rsidRDefault="0062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7A47" w14:textId="77777777" w:rsidR="0087587E" w:rsidRDefault="0087587E" w:rsidP="0087587E">
      <w:pPr>
        <w:spacing w:line="240" w:lineRule="auto"/>
      </w:pPr>
      <w:r>
        <w:separator/>
      </w:r>
    </w:p>
  </w:footnote>
  <w:footnote w:type="continuationSeparator" w:id="0">
    <w:p w14:paraId="4CC309B8" w14:textId="77777777" w:rsidR="0087587E" w:rsidRDefault="0087587E" w:rsidP="00875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lang w:val="pt-BR"/>
      </w:rPr>
      <w:alias w:val="Title"/>
      <w:tag w:val=""/>
      <w:id w:val="1116400235"/>
      <w:placeholder>
        <w:docPart w:val="9ADC255136B94D77A3B045F8D597B0EA"/>
      </w:placeholder>
      <w:dataBinding w:prefixMappings="xmlns:ns0='http://purl.org/dc/elements/1.1/' xmlns:ns1='http://schemas.openxmlformats.org/package/2006/metadata/core-properties' " w:xpath="/ns1:coreProperties[1]/ns0:title[1]" w:storeItemID="{6C3C8BC8-F283-45AE-878A-BAB7291924A1}"/>
      <w:text/>
    </w:sdtPr>
    <w:sdtEndPr/>
    <w:sdtContent>
      <w:p w14:paraId="242833FE" w14:textId="0030856C" w:rsidR="0087587E" w:rsidRPr="00303BD9" w:rsidRDefault="0087587E">
        <w:pPr>
          <w:pStyle w:val="Header"/>
          <w:tabs>
            <w:tab w:val="clear" w:pos="4680"/>
            <w:tab w:val="clear" w:pos="9360"/>
          </w:tabs>
          <w:jc w:val="right"/>
          <w:rPr>
            <w:color w:val="7F7F7F" w:themeColor="text1" w:themeTint="80"/>
            <w:lang w:val="pt-BR"/>
          </w:rPr>
        </w:pPr>
        <w:r w:rsidRPr="00303BD9">
          <w:rPr>
            <w:color w:val="7F7F7F" w:themeColor="text1" w:themeTint="80"/>
            <w:lang w:val="pt-BR"/>
          </w:rPr>
          <w:t xml:space="preserve">Agenda Item:  </w:t>
        </w:r>
        <w:r w:rsidR="00303BD9" w:rsidRPr="00303BD9">
          <w:rPr>
            <w:color w:val="7F7F7F" w:themeColor="text1" w:themeTint="80"/>
            <w:lang w:val="pt-BR"/>
          </w:rPr>
          <w:t>1125-VI-A-</w:t>
        </w:r>
        <w:r w:rsidR="00303BD9">
          <w:rPr>
            <w:color w:val="7F7F7F" w:themeColor="text1" w:themeTint="80"/>
            <w:lang w:val="pt-BR"/>
          </w:rPr>
          <w:t>2 Doc 2</w:t>
        </w:r>
      </w:p>
    </w:sdtContent>
  </w:sdt>
  <w:p w14:paraId="5C2EDA2B" w14:textId="77777777" w:rsidR="0087587E" w:rsidRPr="00303BD9" w:rsidRDefault="0087587E">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58F"/>
    <w:multiLevelType w:val="multilevel"/>
    <w:tmpl w:val="179C196A"/>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F7172"/>
    <w:multiLevelType w:val="multilevel"/>
    <w:tmpl w:val="CC6E0D5C"/>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553D14"/>
    <w:multiLevelType w:val="multilevel"/>
    <w:tmpl w:val="C6F64D2C"/>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B7B17"/>
    <w:multiLevelType w:val="multilevel"/>
    <w:tmpl w:val="2ECE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B30607"/>
    <w:multiLevelType w:val="multilevel"/>
    <w:tmpl w:val="D36A3D60"/>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663349"/>
    <w:multiLevelType w:val="multilevel"/>
    <w:tmpl w:val="460E01CC"/>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E87661"/>
    <w:multiLevelType w:val="multilevel"/>
    <w:tmpl w:val="744E6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96A3AD1"/>
    <w:multiLevelType w:val="multilevel"/>
    <w:tmpl w:val="5492F770"/>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7118DE"/>
    <w:multiLevelType w:val="multilevel"/>
    <w:tmpl w:val="823470E0"/>
    <w:lvl w:ilvl="0">
      <w:start w:val="1"/>
      <w:numFmt w:val="bullet"/>
      <w:lvlText w:val="●"/>
      <w:lvlJc w:val="left"/>
      <w:pPr>
        <w:ind w:left="720" w:hanging="360"/>
      </w:pPr>
      <w:rPr>
        <w:rFonts w:ascii="Arial" w:eastAsia="Arial" w:hAnsi="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9641062">
    <w:abstractNumId w:val="3"/>
  </w:num>
  <w:num w:numId="2" w16cid:durableId="125392512">
    <w:abstractNumId w:val="4"/>
  </w:num>
  <w:num w:numId="3" w16cid:durableId="1233352249">
    <w:abstractNumId w:val="2"/>
  </w:num>
  <w:num w:numId="4" w16cid:durableId="1142386531">
    <w:abstractNumId w:val="5"/>
  </w:num>
  <w:num w:numId="5" w16cid:durableId="2109305339">
    <w:abstractNumId w:val="6"/>
  </w:num>
  <w:num w:numId="6" w16cid:durableId="1754624236">
    <w:abstractNumId w:val="7"/>
  </w:num>
  <w:num w:numId="7" w16cid:durableId="1267930098">
    <w:abstractNumId w:val="1"/>
  </w:num>
  <w:num w:numId="8" w16cid:durableId="1649164458">
    <w:abstractNumId w:val="8"/>
  </w:num>
  <w:num w:numId="9" w16cid:durableId="84601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DA5"/>
    <w:rsid w:val="000126D1"/>
    <w:rsid w:val="00265DA5"/>
    <w:rsid w:val="00303BD9"/>
    <w:rsid w:val="00393C7F"/>
    <w:rsid w:val="00612CBA"/>
    <w:rsid w:val="00622158"/>
    <w:rsid w:val="006C19E1"/>
    <w:rsid w:val="0087587E"/>
    <w:rsid w:val="00A86A38"/>
    <w:rsid w:val="00D3598E"/>
    <w:rsid w:val="5D50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664B40A"/>
  <w15:docId w15:val="{C5285B95-5DCA-4B06-92DA-C3EE3A11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00">
    <w:name w:val="TableNormal0"/>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7587E"/>
    <w:pPr>
      <w:tabs>
        <w:tab w:val="center" w:pos="4680"/>
        <w:tab w:val="right" w:pos="9360"/>
      </w:tabs>
      <w:spacing w:line="240" w:lineRule="auto"/>
    </w:pPr>
  </w:style>
  <w:style w:type="character" w:customStyle="1" w:styleId="HeaderChar">
    <w:name w:val="Header Char"/>
    <w:basedOn w:val="DefaultParagraphFont"/>
    <w:link w:val="Header"/>
    <w:uiPriority w:val="99"/>
    <w:rsid w:val="0087587E"/>
  </w:style>
  <w:style w:type="paragraph" w:styleId="Footer">
    <w:name w:val="footer"/>
    <w:basedOn w:val="Normal"/>
    <w:link w:val="FooterChar"/>
    <w:uiPriority w:val="99"/>
    <w:unhideWhenUsed/>
    <w:rsid w:val="0087587E"/>
    <w:pPr>
      <w:tabs>
        <w:tab w:val="center" w:pos="4680"/>
        <w:tab w:val="right" w:pos="9360"/>
      </w:tabs>
      <w:spacing w:line="240" w:lineRule="auto"/>
    </w:pPr>
  </w:style>
  <w:style w:type="character" w:customStyle="1" w:styleId="FooterChar">
    <w:name w:val="Footer Char"/>
    <w:basedOn w:val="DefaultParagraphFont"/>
    <w:link w:val="Footer"/>
    <w:uiPriority w:val="99"/>
    <w:rsid w:val="0087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archivists.org/prof-education/ace-guidelines-2017" TargetMode="External"/><Relationship Id="rId18" Type="http://schemas.openxmlformats.org/officeDocument/2006/relationships/hyperlink" Target="https://www2.archivists.org/groups/education-committee/online-courses-for-the-society-of-american-archivists-toolkit-for-instruc" TargetMode="External"/><Relationship Id="rId26" Type="http://schemas.openxmlformats.org/officeDocument/2006/relationships/hyperlink" Target="https://www2.archivists.org/sites/all/files/1106-ACE-ReviewerEvaluation.pdf" TargetMode="External"/><Relationship Id="rId39" Type="http://schemas.openxmlformats.org/officeDocument/2006/relationships/hyperlink" Target="https://www2.archivists.org/prof-education/ace-guidelines-2017" TargetMode="External"/><Relationship Id="rId21" Type="http://schemas.openxmlformats.org/officeDocument/2006/relationships/hyperlink" Target="https://www2.archivists.org/prof-education/ace-guidelines-2017/appendix-1" TargetMode="External"/><Relationship Id="rId34" Type="http://schemas.openxmlformats.org/officeDocument/2006/relationships/hyperlink" Target="https://www2.archivists.org/prof-education/education-fees-and-policies" TargetMode="External"/><Relationship Id="rId42" Type="http://schemas.openxmlformats.org/officeDocument/2006/relationships/hyperlink" Target="https://www2.archivists.org/prof-education/ace-guidelines-2017/appendix-2" TargetMode="External"/><Relationship Id="rId47" Type="http://schemas.openxmlformats.org/officeDocument/2006/relationships/hyperlink" Target="https://www2.archivists.org/prof-education/ace-guidelines-2017" TargetMode="External"/><Relationship Id="rId50" Type="http://schemas.openxmlformats.org/officeDocument/2006/relationships/hyperlink" Target="https://www2.archivists.org/news/2017/comments-sought-on-archival-continuing-education-ace-guidelines"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archivists.org/prof-education/ace-guidelines-2017" TargetMode="External"/><Relationship Id="rId29" Type="http://schemas.openxmlformats.org/officeDocument/2006/relationships/hyperlink" Target="https://www2.archivists.org/prof-education/ace-guidelines-2017/appendix-3" TargetMode="External"/><Relationship Id="rId11" Type="http://schemas.openxmlformats.org/officeDocument/2006/relationships/hyperlink" Target="https://www2.archivists.org/prof-education/ace-guidelines-2017" TargetMode="External"/><Relationship Id="rId24" Type="http://schemas.openxmlformats.org/officeDocument/2006/relationships/hyperlink" Target="https://www2.archivists.org/prof-education/ace-guidelines-2017/appendix-4" TargetMode="External"/><Relationship Id="rId32" Type="http://schemas.openxmlformats.org/officeDocument/2006/relationships/hyperlink" Target="https://www.certifiedarchivists.org/node/904" TargetMode="External"/><Relationship Id="rId37" Type="http://schemas.openxmlformats.org/officeDocument/2006/relationships/hyperlink" Target="https://www2.archivists.org/prof-education/ace-guidelines-2017" TargetMode="External"/><Relationship Id="rId40" Type="http://schemas.openxmlformats.org/officeDocument/2006/relationships/hyperlink" Target="https://www2.archivists.org/prof-education/ace-guidelines-2017/appendix-4" TargetMode="External"/><Relationship Id="rId45" Type="http://schemas.openxmlformats.org/officeDocument/2006/relationships/hyperlink" Target="https://www2.archivists.org/prof-education/ace-guidelines-2017/appendix-5"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2.archivists.org/groups/education-committee/accessibility-and-inclusion-requirements-and-guidance-for-online-and-in-p" TargetMode="External"/><Relationship Id="rId31" Type="http://schemas.openxmlformats.org/officeDocument/2006/relationships/hyperlink" Target="https://www2.archivists.org/groups/education-committee/guidelines-for-a-graduate-program-in-archival-studies" TargetMode="External"/><Relationship Id="rId44" Type="http://schemas.openxmlformats.org/officeDocument/2006/relationships/hyperlink" Target="https://www2.archivists.org/prof-education/ace-guidelines-2017/appendix-4"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archivists.org/prof-education/ace-guidelines-2017" TargetMode="External"/><Relationship Id="rId22" Type="http://schemas.openxmlformats.org/officeDocument/2006/relationships/hyperlink" Target="https://www2.archivists.org/prof-education/ace-guidelines-2017/appendix-2" TargetMode="External"/><Relationship Id="rId27" Type="http://schemas.openxmlformats.org/officeDocument/2006/relationships/hyperlink" Target="https://www2.archivists.org/prof-education/ace-guidelines-2017/appendix-5" TargetMode="External"/><Relationship Id="rId30" Type="http://schemas.openxmlformats.org/officeDocument/2006/relationships/hyperlink" Target="https://www2.archivists.org/prof-education/ace-guidelines-2017" TargetMode="External"/><Relationship Id="rId35" Type="http://schemas.openxmlformats.org/officeDocument/2006/relationships/hyperlink" Target="https://www2.archivists.org/prof-education/ace-guidelines-2017" TargetMode="External"/><Relationship Id="rId43" Type="http://schemas.openxmlformats.org/officeDocument/2006/relationships/hyperlink" Target="https://www2.archivists.org/prof-education/ace-guidelines-2017/appendix-3" TargetMode="External"/><Relationship Id="rId48" Type="http://schemas.openxmlformats.org/officeDocument/2006/relationships/hyperlink" Target="http://www2.archivists.org/pace-guidelines"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2.archivists.org/prof-education/ace-guidelines-2017" TargetMode="External"/><Relationship Id="rId17" Type="http://schemas.openxmlformats.org/officeDocument/2006/relationships/hyperlink" Target="https://www2.archivists.org/prof-education/ace-guidelines-2017" TargetMode="External"/><Relationship Id="rId25" Type="http://schemas.openxmlformats.org/officeDocument/2006/relationships/hyperlink" Target="https://www2.archivists.org/sites/all/files/ACE-Sample-Evaluation-Form-for-Individual-Program-and-Instructor.pdf" TargetMode="External"/><Relationship Id="rId33" Type="http://schemas.openxmlformats.org/officeDocument/2006/relationships/hyperlink" Target="https://www2.archivists.org/prof-education/ace-guidelines-2017" TargetMode="External"/><Relationship Id="rId38" Type="http://schemas.openxmlformats.org/officeDocument/2006/relationships/hyperlink" Target="https://www2.archivists.org/prof-education/ace-guidelines-2017/appendix-2" TargetMode="External"/><Relationship Id="rId46" Type="http://schemas.openxmlformats.org/officeDocument/2006/relationships/hyperlink" Target="https://www2.archivists.org/" TargetMode="External"/><Relationship Id="rId20" Type="http://schemas.openxmlformats.org/officeDocument/2006/relationships/hyperlink" Target="https://www2.archivists.org/groups/education-committee/inclusive-pedagogy-resources" TargetMode="External"/><Relationship Id="rId41" Type="http://schemas.openxmlformats.org/officeDocument/2006/relationships/hyperlink" Target="https://www2.archivists.org/prof-education/ace-guidelines-2017/appendix-1"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2.archivists.org/prof-education/ace-guidelines-2017" TargetMode="External"/><Relationship Id="rId23" Type="http://schemas.openxmlformats.org/officeDocument/2006/relationships/hyperlink" Target="https://www2.archivists.org/prof-education/ace-guidelines-2017/appendix-3" TargetMode="External"/><Relationship Id="rId28" Type="http://schemas.openxmlformats.org/officeDocument/2006/relationships/hyperlink" Target="https://www2.archivists.org/prof-education/ace-guidelines-2017" TargetMode="External"/><Relationship Id="rId36" Type="http://schemas.openxmlformats.org/officeDocument/2006/relationships/hyperlink" Target="https://www2.archivists.org/prof-education/ace-guidelines-2017/appendix-5" TargetMode="External"/><Relationship Id="rId49" Type="http://schemas.openxmlformats.org/officeDocument/2006/relationships/hyperlink" Target="https://www2.archivists.org/prof-education/ace-guidelines-200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C255136B94D77A3B045F8D597B0EA"/>
        <w:category>
          <w:name w:val="General"/>
          <w:gallery w:val="placeholder"/>
        </w:category>
        <w:types>
          <w:type w:val="bbPlcHdr"/>
        </w:types>
        <w:behaviors>
          <w:behavior w:val="content"/>
        </w:behaviors>
        <w:guid w:val="{29609DFA-51EB-4008-B600-9E6C2D7DC470}"/>
      </w:docPartPr>
      <w:docPartBody>
        <w:p w:rsidR="00393C7F" w:rsidRDefault="00393C7F" w:rsidP="00393C7F">
          <w:pPr>
            <w:pStyle w:val="9ADC255136B94D77A3B045F8D597B0EA"/>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7F"/>
    <w:rsid w:val="00393C7F"/>
    <w:rsid w:val="00612CBA"/>
    <w:rsid w:val="006C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C255136B94D77A3B045F8D597B0EA">
    <w:name w:val="9ADC255136B94D77A3B045F8D597B0EA"/>
    <w:rsid w:val="00393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ff4414-838d-4eee-bb83-f63bf9c9107a" xsi:nil="true"/>
    <lcf76f155ced4ddcb4097134ff3c332f xmlns="db99d72e-52a4-4b36-8df9-7b42348e2a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C0499C7719E4B92EBAC29E0C3FA22" ma:contentTypeVersion="15" ma:contentTypeDescription="Create a new document." ma:contentTypeScope="" ma:versionID="c3c013d926a0910c582af1c9bd906326">
  <xsd:schema xmlns:xsd="http://www.w3.org/2001/XMLSchema" xmlns:xs="http://www.w3.org/2001/XMLSchema" xmlns:p="http://schemas.microsoft.com/office/2006/metadata/properties" xmlns:ns2="db99d72e-52a4-4b36-8df9-7b42348e2ad3" xmlns:ns3="52ff4414-838d-4eee-bb83-f63bf9c9107a" targetNamespace="http://schemas.microsoft.com/office/2006/metadata/properties" ma:root="true" ma:fieldsID="c1cdc3b042df7bcb6112cfe13b3798da" ns2:_="" ns3:_="">
    <xsd:import namespace="db99d72e-52a4-4b36-8df9-7b42348e2ad3"/>
    <xsd:import namespace="52ff4414-838d-4eee-bb83-f63bf9c91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9d72e-52a4-4b36-8df9-7b42348e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c8c49a-d714-4d4e-ba1e-30f5d1fb56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f4414-838d-4eee-bb83-f63bf9c910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ddaad-5541-483a-9b25-e0536e5a7682}" ma:internalName="TaxCatchAll" ma:showField="CatchAllData" ma:web="52ff4414-838d-4eee-bb83-f63bf9c910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wg61DUTeir8kZ+aK5e55IDFDg==">CgMxLjAyDmguNmJrZmRlY2J6ZjVmMg5oLmFoMHl0OG96b3ExMDIOaC5pazhxOGJpMndnZXAyDWgubnFscnQ2ZG5qcGIyDmgubTM1Z2tsMnhtZnpoMg5oLmQ3bm0yb3F2OWlzazIOaC5odXp4MnVzZHlib3AyDmgudjRiZWlrcml6cXY0Mg5oLnU0dTI2MnRldHAxbDIOaC5kY2M5OW1pNDVrdzUyDmgub2lpeHExbml5a2lpMg5oLjhpYWRhcGdyNGQ5bjgAciExbENsWWtZRDBJb3BJVUxzQ0tfTGM1QmpwUjdGNnBiTWE=</go:docsCustomData>
</go:gDocsCustomXmlDataStorage>
</file>

<file path=customXml/itemProps1.xml><?xml version="1.0" encoding="utf-8"?>
<ds:datastoreItem xmlns:ds="http://schemas.openxmlformats.org/officeDocument/2006/customXml" ds:itemID="{6D9F4F67-57DD-4B43-97AE-6AA4A72C8E37}">
  <ds:schemaRefs>
    <ds:schemaRef ds:uri="http://schemas.microsoft.com/office/2006/metadata/properties"/>
    <ds:schemaRef ds:uri="http://schemas.microsoft.com/office/infopath/2007/PartnerControls"/>
    <ds:schemaRef ds:uri="52ff4414-838d-4eee-bb83-f63bf9c9107a"/>
    <ds:schemaRef ds:uri="db99d72e-52a4-4b36-8df9-7b42348e2ad3"/>
  </ds:schemaRefs>
</ds:datastoreItem>
</file>

<file path=customXml/itemProps2.xml><?xml version="1.0" encoding="utf-8"?>
<ds:datastoreItem xmlns:ds="http://schemas.openxmlformats.org/officeDocument/2006/customXml" ds:itemID="{907638E8-CD84-480F-AD92-09D2B421A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9d72e-52a4-4b36-8df9-7b42348e2ad3"/>
    <ds:schemaRef ds:uri="52ff4414-838d-4eee-bb83-f63bf9c91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109E3-0364-418D-8CE7-029E24B8385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2819</Words>
  <Characters>16679</Characters>
  <Application>Microsoft Office Word</Application>
  <DocSecurity>0</DocSecurity>
  <Lines>324</Lines>
  <Paragraphs>138</Paragraphs>
  <ScaleCrop>false</ScaleCrop>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1125-VI-A-2 Doc 2</dc:title>
  <dc:creator>Jill Burgos</dc:creator>
  <cp:lastModifiedBy>Jill Burgos</cp:lastModifiedBy>
  <cp:revision>2</cp:revision>
  <cp:lastPrinted>2025-11-11T14:36:00Z</cp:lastPrinted>
  <dcterms:created xsi:type="dcterms:W3CDTF">2025-11-11T14:37:00Z</dcterms:created>
  <dcterms:modified xsi:type="dcterms:W3CDTF">2025-11-11T14:37:00Z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a1dbf6bc-551d-4b82-972e-31b740b33c42</vt:lpwstr>
  </property>
  <property fmtid="{D5CDD505-2E9C-101B-9397-08002B2CF9AE}" pid="3" name="ContentTypeId">
    <vt:lpwstr>0x010100BC7C0499C7719E4B92EBAC29E0C3FA22</vt:lpwstr>
  </property>
  <property fmtid="{D5CDD505-2E9C-101B-9397-08002B2CF9AE}" pid="4" name="MediaServiceImageTags">
    <vt:lpwstr/>
  </property>
</Properties>
</file>